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317B">
      <w:pPr>
        <w:pStyle w:val="43"/>
        <w:spacing w:before="240" w:after="240"/>
        <w:ind w:left="440" w:firstLine="440"/>
        <w:rPr>
          <w:rFonts w:hint="eastAsia"/>
          <w:color w:val="auto"/>
          <w:highlight w:val="none"/>
          <w:lang w:eastAsia="zh-CN"/>
        </w:rPr>
      </w:pPr>
      <w:bookmarkStart w:id="0" w:name="_Toc68685051"/>
      <w:bookmarkStart w:id="1" w:name="_Toc8031844"/>
      <w:bookmarkStart w:id="2" w:name="_Toc65742939"/>
      <w:bookmarkStart w:id="3" w:name="_Toc65743874"/>
      <w:bookmarkStart w:id="4" w:name="_Toc65743838"/>
      <w:bookmarkStart w:id="5" w:name="_Toc96353833"/>
    </w:p>
    <w:p w14:paraId="285F3CC5">
      <w:pPr>
        <w:spacing w:before="240" w:after="240" w:line="600" w:lineRule="exact"/>
        <w:jc w:val="center"/>
        <w:rPr>
          <w:rFonts w:hint="eastAsia"/>
          <w:b/>
          <w:bCs/>
          <w:color w:val="auto"/>
          <w:sz w:val="30"/>
          <w:szCs w:val="30"/>
          <w:highlight w:val="none"/>
          <w:lang w:eastAsia="zh-CN"/>
        </w:rPr>
      </w:pPr>
      <w:r>
        <w:rPr>
          <w:rFonts w:hint="eastAsia"/>
          <w:b/>
          <w:bCs/>
          <w:color w:val="auto"/>
          <w:sz w:val="36"/>
          <w:szCs w:val="36"/>
          <w:highlight w:val="none"/>
          <w:lang w:val="en-US" w:eastAsia="zh-CN"/>
        </w:rPr>
        <w:t xml:space="preserve"> 盐城东方投资开发集团有限公司持有江苏星月测绘科技股份有限公司股权价值评估项目</w:t>
      </w:r>
    </w:p>
    <w:p w14:paraId="134EC84B">
      <w:pPr>
        <w:spacing w:before="240" w:after="240" w:line="480" w:lineRule="auto"/>
        <w:ind w:left="440" w:leftChars="200"/>
        <w:rPr>
          <w:rFonts w:hint="eastAsia"/>
          <w:color w:val="auto"/>
          <w:highlight w:val="none"/>
          <w:lang w:eastAsia="zh-CN"/>
        </w:rPr>
      </w:pPr>
      <w:bookmarkStart w:id="157" w:name="_GoBack"/>
      <w:bookmarkEnd w:id="157"/>
    </w:p>
    <w:p w14:paraId="42F34793">
      <w:pPr>
        <w:spacing w:before="240" w:after="240"/>
        <w:rPr>
          <w:rFonts w:hint="eastAsia"/>
          <w:color w:val="auto"/>
          <w:sz w:val="32"/>
          <w:szCs w:val="28"/>
          <w:highlight w:val="none"/>
          <w:lang w:eastAsia="zh-CN"/>
        </w:rPr>
      </w:pPr>
    </w:p>
    <w:p w14:paraId="2FF2AC95">
      <w:pPr>
        <w:spacing w:before="240" w:after="240"/>
        <w:jc w:val="center"/>
        <w:rPr>
          <w:rFonts w:hint="eastAsia"/>
          <w:b/>
          <w:color w:val="auto"/>
          <w:sz w:val="96"/>
          <w:szCs w:val="84"/>
          <w:highlight w:val="none"/>
          <w:lang w:eastAsia="zh-CN"/>
        </w:rPr>
      </w:pPr>
      <w:r>
        <w:rPr>
          <w:rFonts w:hint="eastAsia"/>
          <w:b/>
          <w:color w:val="auto"/>
          <w:sz w:val="96"/>
          <w:szCs w:val="84"/>
          <w:highlight w:val="none"/>
          <w:lang w:eastAsia="zh-CN"/>
        </w:rPr>
        <w:t>招 标 文 件</w:t>
      </w:r>
    </w:p>
    <w:p w14:paraId="3B531093">
      <w:pPr>
        <w:spacing w:before="240" w:after="240" w:line="400" w:lineRule="exact"/>
        <w:rPr>
          <w:rFonts w:hint="eastAsia"/>
          <w:color w:val="auto"/>
          <w:highlight w:val="none"/>
          <w:lang w:eastAsia="zh-CN"/>
        </w:rPr>
      </w:pPr>
    </w:p>
    <w:p w14:paraId="0F982AA9">
      <w:pPr>
        <w:spacing w:before="240" w:after="240" w:line="400" w:lineRule="exact"/>
        <w:rPr>
          <w:rFonts w:hint="eastAsia"/>
          <w:color w:val="auto"/>
          <w:highlight w:val="none"/>
          <w:lang w:eastAsia="zh-CN"/>
        </w:rPr>
      </w:pPr>
    </w:p>
    <w:p w14:paraId="6BBB6DB2">
      <w:pPr>
        <w:spacing w:before="240" w:after="240" w:line="400" w:lineRule="exact"/>
        <w:rPr>
          <w:rFonts w:hint="eastAsia"/>
          <w:color w:val="auto"/>
          <w:highlight w:val="none"/>
          <w:lang w:eastAsia="zh-CN"/>
        </w:rPr>
      </w:pPr>
    </w:p>
    <w:p w14:paraId="113A6954">
      <w:pPr>
        <w:pStyle w:val="27"/>
        <w:spacing w:before="240" w:after="240"/>
        <w:ind w:left="0" w:leftChars="0"/>
        <w:rPr>
          <w:rFonts w:hint="eastAsia"/>
          <w:color w:val="auto"/>
          <w:highlight w:val="none"/>
          <w:lang w:eastAsia="zh-CN"/>
        </w:rPr>
      </w:pPr>
    </w:p>
    <w:p w14:paraId="124AF876">
      <w:pPr>
        <w:spacing w:before="240" w:after="240" w:line="1000" w:lineRule="exact"/>
        <w:ind w:firstLine="1205" w:firstLineChars="400"/>
        <w:rPr>
          <w:rFonts w:hint="eastAsia"/>
          <w:b/>
          <w:color w:val="auto"/>
          <w:sz w:val="30"/>
          <w:szCs w:val="30"/>
          <w:highlight w:val="none"/>
          <w:u w:val="single"/>
          <w:lang w:eastAsia="zh-CN"/>
        </w:rPr>
      </w:pPr>
      <w:r>
        <w:rPr>
          <w:rFonts w:hint="eastAsia"/>
          <w:b/>
          <w:color w:val="auto"/>
          <w:sz w:val="30"/>
          <w:szCs w:val="30"/>
          <w:highlight w:val="none"/>
          <w:lang w:eastAsia="zh-CN"/>
        </w:rPr>
        <w:t>招   标   人：</w:t>
      </w:r>
      <w:r>
        <w:rPr>
          <w:rFonts w:hint="eastAsia"/>
          <w:b/>
          <w:color w:val="auto"/>
          <w:sz w:val="30"/>
          <w:szCs w:val="30"/>
          <w:highlight w:val="none"/>
          <w:u w:val="single"/>
          <w:lang w:eastAsia="zh-CN"/>
        </w:rPr>
        <w:t xml:space="preserve">  </w:t>
      </w:r>
      <w:r>
        <w:rPr>
          <w:rFonts w:hint="eastAsia"/>
          <w:b/>
          <w:color w:val="auto"/>
          <w:sz w:val="30"/>
          <w:szCs w:val="30"/>
          <w:highlight w:val="none"/>
          <w:u w:val="single"/>
          <w:lang w:val="en-GB" w:eastAsia="zh-CN"/>
        </w:rPr>
        <w:t>盐城东方投资开集团有限公司</w:t>
      </w:r>
      <w:r>
        <w:rPr>
          <w:rFonts w:hint="eastAsia"/>
          <w:b/>
          <w:color w:val="auto"/>
          <w:sz w:val="30"/>
          <w:szCs w:val="30"/>
          <w:highlight w:val="none"/>
          <w:u w:val="single"/>
          <w:lang w:eastAsia="zh-CN"/>
        </w:rPr>
        <w:t>（</w:t>
      </w:r>
      <w:r>
        <w:rPr>
          <w:rFonts w:hint="eastAsia"/>
          <w:b/>
          <w:color w:val="auto"/>
          <w:sz w:val="30"/>
          <w:szCs w:val="30"/>
          <w:highlight w:val="none"/>
          <w:lang w:eastAsia="zh-CN"/>
        </w:rPr>
        <w:t>公章）</w:t>
      </w:r>
    </w:p>
    <w:p w14:paraId="15F277AC">
      <w:pPr>
        <w:spacing w:before="240" w:after="240" w:line="1000" w:lineRule="exact"/>
        <w:ind w:firstLine="1205" w:firstLineChars="400"/>
        <w:rPr>
          <w:rFonts w:hint="eastAsia"/>
          <w:b/>
          <w:color w:val="auto"/>
          <w:sz w:val="30"/>
          <w:szCs w:val="30"/>
          <w:highlight w:val="none"/>
          <w:lang w:eastAsia="zh-CN"/>
        </w:rPr>
      </w:pPr>
      <w:r>
        <w:rPr>
          <w:rFonts w:hint="eastAsia"/>
          <w:b/>
          <w:color w:val="auto"/>
          <w:sz w:val="30"/>
          <w:szCs w:val="30"/>
          <w:highlight w:val="none"/>
          <w:lang w:eastAsia="zh-CN"/>
        </w:rPr>
        <w:t>法定代表人（或代理人） ：</w:t>
      </w:r>
      <w:r>
        <w:rPr>
          <w:rFonts w:hint="eastAsia"/>
          <w:b/>
          <w:color w:val="auto"/>
          <w:sz w:val="30"/>
          <w:szCs w:val="30"/>
          <w:highlight w:val="none"/>
          <w:u w:val="single"/>
          <w:lang w:eastAsia="zh-CN"/>
        </w:rPr>
        <w:t xml:space="preserve">              （</w:t>
      </w:r>
      <w:r>
        <w:rPr>
          <w:rFonts w:hint="eastAsia"/>
          <w:b/>
          <w:color w:val="auto"/>
          <w:sz w:val="30"/>
          <w:szCs w:val="30"/>
          <w:highlight w:val="none"/>
          <w:lang w:eastAsia="zh-CN"/>
        </w:rPr>
        <w:t>签章）</w:t>
      </w:r>
    </w:p>
    <w:p w14:paraId="48F50B6D">
      <w:pPr>
        <w:spacing w:before="240" w:after="240" w:line="1000" w:lineRule="exact"/>
        <w:ind w:firstLine="1205" w:firstLineChars="400"/>
        <w:rPr>
          <w:rFonts w:hint="eastAsia"/>
          <w:b/>
          <w:color w:val="auto"/>
          <w:sz w:val="30"/>
          <w:szCs w:val="30"/>
          <w:highlight w:val="none"/>
          <w:lang w:eastAsia="zh-CN"/>
        </w:rPr>
      </w:pPr>
      <w:r>
        <w:rPr>
          <w:rFonts w:hint="eastAsia"/>
          <w:b/>
          <w:color w:val="auto"/>
          <w:sz w:val="30"/>
          <w:szCs w:val="30"/>
          <w:highlight w:val="none"/>
          <w:lang w:eastAsia="zh-CN"/>
        </w:rPr>
        <w:t>招标代理机构：</w:t>
      </w:r>
      <w:r>
        <w:rPr>
          <w:rFonts w:hint="eastAsia"/>
          <w:b/>
          <w:color w:val="auto"/>
          <w:sz w:val="30"/>
          <w:szCs w:val="30"/>
          <w:highlight w:val="none"/>
          <w:u w:val="single"/>
          <w:lang w:eastAsia="zh-CN"/>
        </w:rPr>
        <w:t>江苏天翔工程项目管理有限公司（</w:t>
      </w:r>
      <w:r>
        <w:rPr>
          <w:rFonts w:hint="eastAsia"/>
          <w:b/>
          <w:color w:val="auto"/>
          <w:sz w:val="30"/>
          <w:szCs w:val="30"/>
          <w:highlight w:val="none"/>
          <w:lang w:eastAsia="zh-CN"/>
        </w:rPr>
        <w:t>公章）</w:t>
      </w:r>
    </w:p>
    <w:p w14:paraId="103D3309">
      <w:pPr>
        <w:spacing w:before="240" w:after="240" w:line="1000" w:lineRule="exact"/>
        <w:ind w:firstLine="1205" w:firstLineChars="400"/>
        <w:rPr>
          <w:rFonts w:hint="eastAsia"/>
          <w:b/>
          <w:color w:val="auto"/>
          <w:sz w:val="30"/>
          <w:szCs w:val="30"/>
          <w:highlight w:val="none"/>
          <w:lang w:eastAsia="zh-CN"/>
        </w:rPr>
      </w:pPr>
      <w:r>
        <w:rPr>
          <w:rFonts w:hint="eastAsia"/>
          <w:b/>
          <w:color w:val="auto"/>
          <w:sz w:val="30"/>
          <w:szCs w:val="30"/>
          <w:highlight w:val="none"/>
          <w:lang w:eastAsia="zh-CN"/>
        </w:rPr>
        <w:t>法定代表人（或代理人） ：</w:t>
      </w:r>
      <w:r>
        <w:rPr>
          <w:rFonts w:hint="eastAsia"/>
          <w:b/>
          <w:color w:val="auto"/>
          <w:sz w:val="30"/>
          <w:szCs w:val="30"/>
          <w:highlight w:val="none"/>
          <w:u w:val="single"/>
          <w:lang w:eastAsia="zh-CN"/>
        </w:rPr>
        <w:t xml:space="preserve">              （</w:t>
      </w:r>
      <w:r>
        <w:rPr>
          <w:rFonts w:hint="eastAsia"/>
          <w:b/>
          <w:color w:val="auto"/>
          <w:sz w:val="30"/>
          <w:szCs w:val="30"/>
          <w:highlight w:val="none"/>
          <w:lang w:eastAsia="zh-CN"/>
        </w:rPr>
        <w:t>签章）</w:t>
      </w:r>
    </w:p>
    <w:p w14:paraId="7CA25F7D">
      <w:pPr>
        <w:rPr>
          <w:rFonts w:hint="eastAsia"/>
          <w:color w:val="auto"/>
          <w:highlight w:val="none"/>
          <w:lang w:eastAsia="zh-CN"/>
        </w:rPr>
      </w:pPr>
    </w:p>
    <w:p w14:paraId="603A07D9">
      <w:pPr>
        <w:pStyle w:val="42"/>
        <w:spacing w:before="240" w:after="240"/>
        <w:ind w:firstLine="0" w:firstLineChars="0"/>
        <w:jc w:val="center"/>
        <w:rPr>
          <w:rFonts w:hint="eastAsia" w:ascii="宋体" w:eastAsia="宋体"/>
          <w:b/>
          <w:color w:val="auto"/>
          <w:sz w:val="32"/>
          <w:szCs w:val="32"/>
          <w:highlight w:val="none"/>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color w:val="auto"/>
          <w:sz w:val="32"/>
          <w:szCs w:val="32"/>
          <w:highlight w:val="none"/>
          <w:lang w:eastAsia="zh-CN"/>
        </w:rPr>
        <w:t>2025年</w:t>
      </w:r>
      <w:r>
        <w:rPr>
          <w:rFonts w:hint="eastAsia" w:ascii="宋体" w:eastAsia="宋体"/>
          <w:b/>
          <w:color w:val="auto"/>
          <w:sz w:val="32"/>
          <w:szCs w:val="32"/>
          <w:highlight w:val="none"/>
          <w:lang w:val="en-US" w:eastAsia="zh-CN"/>
        </w:rPr>
        <w:t>05</w:t>
      </w:r>
      <w:r>
        <w:rPr>
          <w:rFonts w:hint="eastAsia" w:ascii="宋体" w:eastAsia="宋体"/>
          <w:b/>
          <w:color w:val="auto"/>
          <w:sz w:val="32"/>
          <w:szCs w:val="32"/>
          <w:highlight w:val="none"/>
          <w:lang w:eastAsia="zh-CN"/>
        </w:rPr>
        <w:t>月</w:t>
      </w:r>
    </w:p>
    <w:p w14:paraId="195675DF">
      <w:pPr>
        <w:pStyle w:val="65"/>
        <w:outlineLvl w:val="9"/>
        <w:rPr>
          <w:rFonts w:hint="eastAsia"/>
          <w:color w:val="auto"/>
          <w:highlight w:val="none"/>
        </w:rPr>
      </w:pPr>
      <w:r>
        <w:rPr>
          <w:rFonts w:hint="eastAsia"/>
          <w:color w:val="auto"/>
          <w:highlight w:val="none"/>
        </w:rPr>
        <w:t>目  录</w:t>
      </w:r>
    </w:p>
    <w:p w14:paraId="79A2C497">
      <w:pPr>
        <w:rPr>
          <w:rFonts w:hint="eastAsia"/>
          <w:color w:val="auto"/>
          <w:highlight w:val="none"/>
        </w:rPr>
      </w:pPr>
    </w:p>
    <w:p w14:paraId="46A033A7">
      <w:pPr>
        <w:pStyle w:val="31"/>
        <w:tabs>
          <w:tab w:val="right" w:leader="dot" w:pos="9072"/>
        </w:tabs>
        <w:rPr>
          <w:color w:val="auto"/>
          <w:highlight w:val="none"/>
        </w:rPr>
      </w:pPr>
      <w:r>
        <w:rPr>
          <w:color w:val="auto"/>
          <w:sz w:val="36"/>
          <w:szCs w:val="36"/>
          <w:highlight w:val="none"/>
          <w:lang w:eastAsia="zh-CN"/>
        </w:rPr>
        <w:fldChar w:fldCharType="begin"/>
      </w:r>
      <w:r>
        <w:rPr>
          <w:color w:val="auto"/>
          <w:sz w:val="36"/>
          <w:szCs w:val="36"/>
          <w:highlight w:val="none"/>
          <w:lang w:eastAsia="zh-CN"/>
        </w:rPr>
        <w:instrText xml:space="preserve"> </w:instrText>
      </w:r>
      <w:r>
        <w:rPr>
          <w:rFonts w:hint="eastAsia"/>
          <w:color w:val="auto"/>
          <w:sz w:val="36"/>
          <w:szCs w:val="36"/>
          <w:highlight w:val="none"/>
          <w:lang w:eastAsia="zh-CN"/>
        </w:rPr>
        <w:instrText xml:space="preserve">TOC \o "1-2" \h \z \u</w:instrText>
      </w:r>
      <w:r>
        <w:rPr>
          <w:color w:val="auto"/>
          <w:sz w:val="36"/>
          <w:szCs w:val="36"/>
          <w:highlight w:val="none"/>
          <w:lang w:eastAsia="zh-CN"/>
        </w:rPr>
        <w:instrText xml:space="preserve"> </w:instrText>
      </w:r>
      <w:r>
        <w:rPr>
          <w:color w:val="auto"/>
          <w:sz w:val="36"/>
          <w:szCs w:val="36"/>
          <w:highlight w:val="none"/>
          <w:lang w:eastAsia="zh-CN"/>
        </w:rPr>
        <w:fldChar w:fldCharType="separate"/>
      </w:r>
      <w:r>
        <w:rPr>
          <w:color w:val="auto"/>
          <w:szCs w:val="36"/>
          <w:highlight w:val="none"/>
          <w:lang w:eastAsia="zh-CN"/>
        </w:rPr>
        <w:fldChar w:fldCharType="begin"/>
      </w:r>
      <w:r>
        <w:rPr>
          <w:color w:val="auto"/>
          <w:szCs w:val="36"/>
          <w:highlight w:val="none"/>
          <w:lang w:eastAsia="zh-CN"/>
        </w:rPr>
        <w:instrText xml:space="preserve"> HYPERLINK \l _Toc23617 </w:instrText>
      </w:r>
      <w:r>
        <w:rPr>
          <w:color w:val="auto"/>
          <w:szCs w:val="36"/>
          <w:highlight w:val="none"/>
          <w:lang w:eastAsia="zh-CN"/>
        </w:rPr>
        <w:fldChar w:fldCharType="separate"/>
      </w:r>
      <w:r>
        <w:rPr>
          <w:rFonts w:hint="eastAsia"/>
          <w:color w:val="auto"/>
          <w:szCs w:val="36"/>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_Toc23617 \h </w:instrText>
      </w:r>
      <w:r>
        <w:rPr>
          <w:color w:val="auto"/>
          <w:highlight w:val="none"/>
        </w:rPr>
        <w:fldChar w:fldCharType="separate"/>
      </w:r>
      <w:r>
        <w:rPr>
          <w:color w:val="auto"/>
          <w:highlight w:val="none"/>
        </w:rPr>
        <w:t>2</w:t>
      </w:r>
      <w:r>
        <w:rPr>
          <w:color w:val="auto"/>
          <w:highlight w:val="none"/>
        </w:rPr>
        <w:fldChar w:fldCharType="end"/>
      </w:r>
      <w:r>
        <w:rPr>
          <w:color w:val="auto"/>
          <w:szCs w:val="36"/>
          <w:highlight w:val="none"/>
          <w:lang w:eastAsia="zh-CN"/>
        </w:rPr>
        <w:fldChar w:fldCharType="end"/>
      </w:r>
    </w:p>
    <w:p w14:paraId="6B6AB761">
      <w:pPr>
        <w:pStyle w:val="31"/>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_Toc27265 </w:instrText>
      </w:r>
      <w:r>
        <w:rPr>
          <w:color w:val="auto"/>
          <w:szCs w:val="36"/>
          <w:highlight w:val="none"/>
          <w:lang w:eastAsia="zh-CN"/>
        </w:rPr>
        <w:fldChar w:fldCharType="separate"/>
      </w:r>
      <w:r>
        <w:rPr>
          <w:rFonts w:hint="eastAsia"/>
          <w:color w:val="auto"/>
          <w:szCs w:val="36"/>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_Toc27265 \h </w:instrText>
      </w:r>
      <w:r>
        <w:rPr>
          <w:color w:val="auto"/>
          <w:highlight w:val="none"/>
        </w:rPr>
        <w:fldChar w:fldCharType="separate"/>
      </w:r>
      <w:r>
        <w:rPr>
          <w:color w:val="auto"/>
          <w:highlight w:val="none"/>
        </w:rPr>
        <w:t>5</w:t>
      </w:r>
      <w:r>
        <w:rPr>
          <w:color w:val="auto"/>
          <w:highlight w:val="none"/>
        </w:rPr>
        <w:fldChar w:fldCharType="end"/>
      </w:r>
      <w:r>
        <w:rPr>
          <w:color w:val="auto"/>
          <w:szCs w:val="36"/>
          <w:highlight w:val="none"/>
          <w:lang w:eastAsia="zh-CN"/>
        </w:rPr>
        <w:fldChar w:fldCharType="end"/>
      </w:r>
    </w:p>
    <w:p w14:paraId="3EF89F4E">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_Toc16299 </w:instrText>
      </w:r>
      <w:r>
        <w:rPr>
          <w:color w:val="auto"/>
          <w:szCs w:val="36"/>
          <w:highlight w:val="none"/>
          <w:lang w:eastAsia="zh-CN"/>
        </w:rPr>
        <w:fldChar w:fldCharType="separate"/>
      </w:r>
      <w:r>
        <w:rPr>
          <w:rFonts w:hint="eastAsia"/>
          <w:bCs/>
          <w:color w:val="auto"/>
          <w:szCs w:val="21"/>
          <w:highlight w:val="none"/>
          <w:lang w:eastAsia="zh-CN"/>
        </w:rPr>
        <w:t>1.总则</w:t>
      </w:r>
      <w:r>
        <w:rPr>
          <w:color w:val="auto"/>
          <w:highlight w:val="none"/>
        </w:rPr>
        <w:tab/>
      </w:r>
      <w:r>
        <w:rPr>
          <w:color w:val="auto"/>
          <w:highlight w:val="none"/>
        </w:rPr>
        <w:fldChar w:fldCharType="begin"/>
      </w:r>
      <w:r>
        <w:rPr>
          <w:color w:val="auto"/>
          <w:highlight w:val="none"/>
        </w:rPr>
        <w:instrText xml:space="preserve"> PAGEREF _Toc16299 \h </w:instrText>
      </w:r>
      <w:r>
        <w:rPr>
          <w:color w:val="auto"/>
          <w:highlight w:val="none"/>
        </w:rPr>
        <w:fldChar w:fldCharType="separate"/>
      </w:r>
      <w:r>
        <w:rPr>
          <w:color w:val="auto"/>
          <w:highlight w:val="none"/>
        </w:rPr>
        <w:t>10</w:t>
      </w:r>
      <w:r>
        <w:rPr>
          <w:color w:val="auto"/>
          <w:highlight w:val="none"/>
        </w:rPr>
        <w:fldChar w:fldCharType="end"/>
      </w:r>
      <w:r>
        <w:rPr>
          <w:color w:val="auto"/>
          <w:szCs w:val="36"/>
          <w:highlight w:val="none"/>
          <w:lang w:eastAsia="zh-CN"/>
        </w:rPr>
        <w:fldChar w:fldCharType="end"/>
      </w:r>
    </w:p>
    <w:p w14:paraId="16AB8076">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_Toc29407 </w:instrText>
      </w:r>
      <w:r>
        <w:rPr>
          <w:color w:val="auto"/>
          <w:szCs w:val="36"/>
          <w:highlight w:val="none"/>
          <w:lang w:eastAsia="zh-CN"/>
        </w:rPr>
        <w:fldChar w:fldCharType="separate"/>
      </w:r>
      <w:r>
        <w:rPr>
          <w:rFonts w:hint="eastAsia"/>
          <w:bCs/>
          <w:color w:val="auto"/>
          <w:szCs w:val="21"/>
          <w:highlight w:val="none"/>
          <w:lang w:eastAsia="zh-CN"/>
        </w:rPr>
        <w:t>2.招标文件</w:t>
      </w:r>
      <w:r>
        <w:rPr>
          <w:color w:val="auto"/>
          <w:highlight w:val="none"/>
        </w:rPr>
        <w:tab/>
      </w:r>
      <w:r>
        <w:rPr>
          <w:color w:val="auto"/>
          <w:highlight w:val="none"/>
        </w:rPr>
        <w:fldChar w:fldCharType="begin"/>
      </w:r>
      <w:r>
        <w:rPr>
          <w:color w:val="auto"/>
          <w:highlight w:val="none"/>
        </w:rPr>
        <w:instrText xml:space="preserve"> PAGEREF _Toc29407 \h </w:instrText>
      </w:r>
      <w:r>
        <w:rPr>
          <w:color w:val="auto"/>
          <w:highlight w:val="none"/>
        </w:rPr>
        <w:fldChar w:fldCharType="separate"/>
      </w:r>
      <w:r>
        <w:rPr>
          <w:color w:val="auto"/>
          <w:highlight w:val="none"/>
        </w:rPr>
        <w:t>12</w:t>
      </w:r>
      <w:r>
        <w:rPr>
          <w:color w:val="auto"/>
          <w:highlight w:val="none"/>
        </w:rPr>
        <w:fldChar w:fldCharType="end"/>
      </w:r>
      <w:r>
        <w:rPr>
          <w:color w:val="auto"/>
          <w:szCs w:val="36"/>
          <w:highlight w:val="none"/>
          <w:lang w:eastAsia="zh-CN"/>
        </w:rPr>
        <w:fldChar w:fldCharType="end"/>
      </w:r>
    </w:p>
    <w:p w14:paraId="72E23E6E">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_Toc27101 </w:instrText>
      </w:r>
      <w:r>
        <w:rPr>
          <w:color w:val="auto"/>
          <w:szCs w:val="36"/>
          <w:highlight w:val="none"/>
          <w:lang w:eastAsia="zh-CN"/>
        </w:rPr>
        <w:fldChar w:fldCharType="separate"/>
      </w:r>
      <w:r>
        <w:rPr>
          <w:rFonts w:hint="eastAsia"/>
          <w:bCs/>
          <w:color w:val="auto"/>
          <w:szCs w:val="21"/>
          <w:highlight w:val="none"/>
          <w:lang w:eastAsia="zh-CN"/>
        </w:rPr>
        <w:t>3.投标文件</w:t>
      </w:r>
      <w:r>
        <w:rPr>
          <w:color w:val="auto"/>
          <w:highlight w:val="none"/>
        </w:rPr>
        <w:tab/>
      </w:r>
      <w:r>
        <w:rPr>
          <w:color w:val="auto"/>
          <w:highlight w:val="none"/>
        </w:rPr>
        <w:fldChar w:fldCharType="begin"/>
      </w:r>
      <w:r>
        <w:rPr>
          <w:color w:val="auto"/>
          <w:highlight w:val="none"/>
        </w:rPr>
        <w:instrText xml:space="preserve"> PAGEREF _Toc27101 \h </w:instrText>
      </w:r>
      <w:r>
        <w:rPr>
          <w:color w:val="auto"/>
          <w:highlight w:val="none"/>
        </w:rPr>
        <w:fldChar w:fldCharType="separate"/>
      </w:r>
      <w:r>
        <w:rPr>
          <w:color w:val="auto"/>
          <w:highlight w:val="none"/>
        </w:rPr>
        <w:t>13</w:t>
      </w:r>
      <w:r>
        <w:rPr>
          <w:color w:val="auto"/>
          <w:highlight w:val="none"/>
        </w:rPr>
        <w:fldChar w:fldCharType="end"/>
      </w:r>
      <w:r>
        <w:rPr>
          <w:color w:val="auto"/>
          <w:szCs w:val="36"/>
          <w:highlight w:val="none"/>
          <w:lang w:eastAsia="zh-CN"/>
        </w:rPr>
        <w:fldChar w:fldCharType="end"/>
      </w:r>
    </w:p>
    <w:p w14:paraId="717FCE81">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_Toc6408 </w:instrText>
      </w:r>
      <w:r>
        <w:rPr>
          <w:color w:val="auto"/>
          <w:szCs w:val="36"/>
          <w:highlight w:val="none"/>
          <w:lang w:eastAsia="zh-CN"/>
        </w:rPr>
        <w:fldChar w:fldCharType="separate"/>
      </w:r>
      <w:r>
        <w:rPr>
          <w:rFonts w:hint="eastAsia"/>
          <w:bCs/>
          <w:color w:val="auto"/>
          <w:szCs w:val="21"/>
          <w:highlight w:val="none"/>
          <w:lang w:eastAsia="zh-CN"/>
        </w:rPr>
        <w:t>4.投标</w:t>
      </w:r>
      <w:r>
        <w:rPr>
          <w:color w:val="auto"/>
          <w:highlight w:val="none"/>
        </w:rPr>
        <w:tab/>
      </w:r>
      <w:r>
        <w:rPr>
          <w:color w:val="auto"/>
          <w:highlight w:val="none"/>
        </w:rPr>
        <w:fldChar w:fldCharType="begin"/>
      </w:r>
      <w:r>
        <w:rPr>
          <w:color w:val="auto"/>
          <w:highlight w:val="none"/>
        </w:rPr>
        <w:instrText xml:space="preserve"> PAGEREF _Toc6408 \h </w:instrText>
      </w:r>
      <w:r>
        <w:rPr>
          <w:color w:val="auto"/>
          <w:highlight w:val="none"/>
        </w:rPr>
        <w:fldChar w:fldCharType="separate"/>
      </w:r>
      <w:r>
        <w:rPr>
          <w:color w:val="auto"/>
          <w:highlight w:val="none"/>
        </w:rPr>
        <w:t>16</w:t>
      </w:r>
      <w:r>
        <w:rPr>
          <w:color w:val="auto"/>
          <w:highlight w:val="none"/>
        </w:rPr>
        <w:fldChar w:fldCharType="end"/>
      </w:r>
      <w:r>
        <w:rPr>
          <w:color w:val="auto"/>
          <w:szCs w:val="36"/>
          <w:highlight w:val="none"/>
          <w:lang w:eastAsia="zh-CN"/>
        </w:rPr>
        <w:fldChar w:fldCharType="end"/>
      </w:r>
    </w:p>
    <w:p w14:paraId="17E0A7E2">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_Toc15686 </w:instrText>
      </w:r>
      <w:r>
        <w:rPr>
          <w:color w:val="auto"/>
          <w:szCs w:val="36"/>
          <w:highlight w:val="none"/>
          <w:lang w:eastAsia="zh-CN"/>
        </w:rPr>
        <w:fldChar w:fldCharType="separate"/>
      </w:r>
      <w:r>
        <w:rPr>
          <w:rFonts w:hint="eastAsia"/>
          <w:bCs/>
          <w:color w:val="auto"/>
          <w:szCs w:val="21"/>
          <w:highlight w:val="none"/>
          <w:lang w:eastAsia="zh-CN"/>
        </w:rPr>
        <w:t>5.开标</w:t>
      </w:r>
      <w:r>
        <w:rPr>
          <w:color w:val="auto"/>
          <w:highlight w:val="none"/>
        </w:rPr>
        <w:tab/>
      </w:r>
      <w:r>
        <w:rPr>
          <w:color w:val="auto"/>
          <w:highlight w:val="none"/>
        </w:rPr>
        <w:fldChar w:fldCharType="begin"/>
      </w:r>
      <w:r>
        <w:rPr>
          <w:color w:val="auto"/>
          <w:highlight w:val="none"/>
        </w:rPr>
        <w:instrText xml:space="preserve"> PAGEREF _Toc15686 \h </w:instrText>
      </w:r>
      <w:r>
        <w:rPr>
          <w:color w:val="auto"/>
          <w:highlight w:val="none"/>
        </w:rPr>
        <w:fldChar w:fldCharType="separate"/>
      </w:r>
      <w:r>
        <w:rPr>
          <w:color w:val="auto"/>
          <w:highlight w:val="none"/>
        </w:rPr>
        <w:t>17</w:t>
      </w:r>
      <w:r>
        <w:rPr>
          <w:color w:val="auto"/>
          <w:highlight w:val="none"/>
        </w:rPr>
        <w:fldChar w:fldCharType="end"/>
      </w:r>
      <w:r>
        <w:rPr>
          <w:color w:val="auto"/>
          <w:szCs w:val="36"/>
          <w:highlight w:val="none"/>
          <w:lang w:eastAsia="zh-CN"/>
        </w:rPr>
        <w:fldChar w:fldCharType="end"/>
      </w:r>
    </w:p>
    <w:p w14:paraId="2B70D671">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_Toc12479 </w:instrText>
      </w:r>
      <w:r>
        <w:rPr>
          <w:color w:val="auto"/>
          <w:szCs w:val="36"/>
          <w:highlight w:val="none"/>
          <w:lang w:eastAsia="zh-CN"/>
        </w:rPr>
        <w:fldChar w:fldCharType="separate"/>
      </w:r>
      <w:r>
        <w:rPr>
          <w:rFonts w:hint="eastAsia"/>
          <w:bCs/>
          <w:color w:val="auto"/>
          <w:szCs w:val="21"/>
          <w:highlight w:val="none"/>
          <w:lang w:eastAsia="zh-CN"/>
        </w:rPr>
        <w:t>6.评标</w:t>
      </w:r>
      <w:r>
        <w:rPr>
          <w:color w:val="auto"/>
          <w:highlight w:val="none"/>
        </w:rPr>
        <w:tab/>
      </w:r>
      <w:r>
        <w:rPr>
          <w:color w:val="auto"/>
          <w:highlight w:val="none"/>
        </w:rPr>
        <w:fldChar w:fldCharType="begin"/>
      </w:r>
      <w:r>
        <w:rPr>
          <w:color w:val="auto"/>
          <w:highlight w:val="none"/>
        </w:rPr>
        <w:instrText xml:space="preserve"> PAGEREF _Toc12479 \h </w:instrText>
      </w:r>
      <w:r>
        <w:rPr>
          <w:color w:val="auto"/>
          <w:highlight w:val="none"/>
        </w:rPr>
        <w:fldChar w:fldCharType="separate"/>
      </w:r>
      <w:r>
        <w:rPr>
          <w:color w:val="auto"/>
          <w:highlight w:val="none"/>
        </w:rPr>
        <w:t>17</w:t>
      </w:r>
      <w:r>
        <w:rPr>
          <w:color w:val="auto"/>
          <w:highlight w:val="none"/>
        </w:rPr>
        <w:fldChar w:fldCharType="end"/>
      </w:r>
      <w:r>
        <w:rPr>
          <w:color w:val="auto"/>
          <w:szCs w:val="36"/>
          <w:highlight w:val="none"/>
          <w:lang w:eastAsia="zh-CN"/>
        </w:rPr>
        <w:fldChar w:fldCharType="end"/>
      </w:r>
    </w:p>
    <w:p w14:paraId="7EAD9B89">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_Toc5479 </w:instrText>
      </w:r>
      <w:r>
        <w:rPr>
          <w:color w:val="auto"/>
          <w:szCs w:val="36"/>
          <w:highlight w:val="none"/>
          <w:lang w:eastAsia="zh-CN"/>
        </w:rPr>
        <w:fldChar w:fldCharType="separate"/>
      </w:r>
      <w:r>
        <w:rPr>
          <w:rFonts w:hint="eastAsia"/>
          <w:bCs/>
          <w:color w:val="auto"/>
          <w:szCs w:val="21"/>
          <w:highlight w:val="none"/>
          <w:lang w:eastAsia="zh-CN"/>
        </w:rPr>
        <w:t>7.评标结果公示</w:t>
      </w:r>
      <w:r>
        <w:rPr>
          <w:color w:val="auto"/>
          <w:highlight w:val="none"/>
        </w:rPr>
        <w:tab/>
      </w:r>
      <w:r>
        <w:rPr>
          <w:color w:val="auto"/>
          <w:highlight w:val="none"/>
        </w:rPr>
        <w:fldChar w:fldCharType="begin"/>
      </w:r>
      <w:r>
        <w:rPr>
          <w:color w:val="auto"/>
          <w:highlight w:val="none"/>
        </w:rPr>
        <w:instrText xml:space="preserve"> PAGEREF _Toc5479 \h </w:instrText>
      </w:r>
      <w:r>
        <w:rPr>
          <w:color w:val="auto"/>
          <w:highlight w:val="none"/>
        </w:rPr>
        <w:fldChar w:fldCharType="separate"/>
      </w:r>
      <w:r>
        <w:rPr>
          <w:color w:val="auto"/>
          <w:highlight w:val="none"/>
        </w:rPr>
        <w:t>20</w:t>
      </w:r>
      <w:r>
        <w:rPr>
          <w:color w:val="auto"/>
          <w:highlight w:val="none"/>
        </w:rPr>
        <w:fldChar w:fldCharType="end"/>
      </w:r>
      <w:r>
        <w:rPr>
          <w:color w:val="auto"/>
          <w:szCs w:val="36"/>
          <w:highlight w:val="none"/>
          <w:lang w:eastAsia="zh-CN"/>
        </w:rPr>
        <w:fldChar w:fldCharType="end"/>
      </w:r>
    </w:p>
    <w:p w14:paraId="436543A9">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_Toc19238 </w:instrText>
      </w:r>
      <w:r>
        <w:rPr>
          <w:color w:val="auto"/>
          <w:szCs w:val="36"/>
          <w:highlight w:val="none"/>
          <w:lang w:eastAsia="zh-CN"/>
        </w:rPr>
        <w:fldChar w:fldCharType="separate"/>
      </w:r>
      <w:r>
        <w:rPr>
          <w:rFonts w:hint="eastAsia"/>
          <w:bCs/>
          <w:color w:val="auto"/>
          <w:szCs w:val="21"/>
          <w:highlight w:val="none"/>
          <w:lang w:eastAsia="zh-CN"/>
        </w:rPr>
        <w:t>8.合同授予</w:t>
      </w:r>
      <w:r>
        <w:rPr>
          <w:color w:val="auto"/>
          <w:highlight w:val="none"/>
        </w:rPr>
        <w:tab/>
      </w:r>
      <w:r>
        <w:rPr>
          <w:color w:val="auto"/>
          <w:highlight w:val="none"/>
        </w:rPr>
        <w:fldChar w:fldCharType="begin"/>
      </w:r>
      <w:r>
        <w:rPr>
          <w:color w:val="auto"/>
          <w:highlight w:val="none"/>
        </w:rPr>
        <w:instrText xml:space="preserve"> PAGEREF _Toc19238 \h </w:instrText>
      </w:r>
      <w:r>
        <w:rPr>
          <w:color w:val="auto"/>
          <w:highlight w:val="none"/>
        </w:rPr>
        <w:fldChar w:fldCharType="separate"/>
      </w:r>
      <w:r>
        <w:rPr>
          <w:color w:val="auto"/>
          <w:highlight w:val="none"/>
        </w:rPr>
        <w:t>20</w:t>
      </w:r>
      <w:r>
        <w:rPr>
          <w:color w:val="auto"/>
          <w:highlight w:val="none"/>
        </w:rPr>
        <w:fldChar w:fldCharType="end"/>
      </w:r>
      <w:r>
        <w:rPr>
          <w:color w:val="auto"/>
          <w:szCs w:val="36"/>
          <w:highlight w:val="none"/>
          <w:lang w:eastAsia="zh-CN"/>
        </w:rPr>
        <w:fldChar w:fldCharType="end"/>
      </w:r>
    </w:p>
    <w:p w14:paraId="0C70D9F1">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_Toc23544 </w:instrText>
      </w:r>
      <w:r>
        <w:rPr>
          <w:color w:val="auto"/>
          <w:szCs w:val="36"/>
          <w:highlight w:val="none"/>
          <w:lang w:eastAsia="zh-CN"/>
        </w:rPr>
        <w:fldChar w:fldCharType="separate"/>
      </w:r>
      <w:r>
        <w:rPr>
          <w:rFonts w:hint="eastAsia"/>
          <w:bCs/>
          <w:color w:val="auto"/>
          <w:szCs w:val="21"/>
          <w:highlight w:val="none"/>
          <w:lang w:eastAsia="zh-CN"/>
        </w:rPr>
        <w:t>9.纪律和监督</w:t>
      </w:r>
      <w:r>
        <w:rPr>
          <w:color w:val="auto"/>
          <w:highlight w:val="none"/>
        </w:rPr>
        <w:tab/>
      </w:r>
      <w:r>
        <w:rPr>
          <w:color w:val="auto"/>
          <w:highlight w:val="none"/>
        </w:rPr>
        <w:fldChar w:fldCharType="begin"/>
      </w:r>
      <w:r>
        <w:rPr>
          <w:color w:val="auto"/>
          <w:highlight w:val="none"/>
        </w:rPr>
        <w:instrText xml:space="preserve"> PAGEREF _Toc23544 \h </w:instrText>
      </w:r>
      <w:r>
        <w:rPr>
          <w:color w:val="auto"/>
          <w:highlight w:val="none"/>
        </w:rPr>
        <w:fldChar w:fldCharType="separate"/>
      </w:r>
      <w:r>
        <w:rPr>
          <w:color w:val="auto"/>
          <w:highlight w:val="none"/>
        </w:rPr>
        <w:t>21</w:t>
      </w:r>
      <w:r>
        <w:rPr>
          <w:color w:val="auto"/>
          <w:highlight w:val="none"/>
        </w:rPr>
        <w:fldChar w:fldCharType="end"/>
      </w:r>
      <w:r>
        <w:rPr>
          <w:color w:val="auto"/>
          <w:szCs w:val="36"/>
          <w:highlight w:val="none"/>
          <w:lang w:eastAsia="zh-CN"/>
        </w:rPr>
        <w:fldChar w:fldCharType="end"/>
      </w:r>
    </w:p>
    <w:p w14:paraId="6023FEE0">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_Toc15300 </w:instrText>
      </w:r>
      <w:r>
        <w:rPr>
          <w:color w:val="auto"/>
          <w:szCs w:val="36"/>
          <w:highlight w:val="none"/>
          <w:lang w:eastAsia="zh-CN"/>
        </w:rPr>
        <w:fldChar w:fldCharType="separate"/>
      </w:r>
      <w:r>
        <w:rPr>
          <w:rFonts w:hint="eastAsia"/>
          <w:bCs/>
          <w:color w:val="auto"/>
          <w:szCs w:val="21"/>
          <w:highlight w:val="none"/>
          <w:lang w:eastAsia="zh-CN"/>
        </w:rPr>
        <w:t>10.需要补充的其他内容</w:t>
      </w:r>
      <w:r>
        <w:rPr>
          <w:color w:val="auto"/>
          <w:highlight w:val="none"/>
        </w:rPr>
        <w:tab/>
      </w:r>
      <w:r>
        <w:rPr>
          <w:color w:val="auto"/>
          <w:highlight w:val="none"/>
        </w:rPr>
        <w:fldChar w:fldCharType="begin"/>
      </w:r>
      <w:r>
        <w:rPr>
          <w:color w:val="auto"/>
          <w:highlight w:val="none"/>
        </w:rPr>
        <w:instrText xml:space="preserve"> PAGEREF _Toc15300 \h </w:instrText>
      </w:r>
      <w:r>
        <w:rPr>
          <w:color w:val="auto"/>
          <w:highlight w:val="none"/>
        </w:rPr>
        <w:fldChar w:fldCharType="separate"/>
      </w:r>
      <w:r>
        <w:rPr>
          <w:color w:val="auto"/>
          <w:highlight w:val="none"/>
        </w:rPr>
        <w:t>21</w:t>
      </w:r>
      <w:r>
        <w:rPr>
          <w:color w:val="auto"/>
          <w:highlight w:val="none"/>
        </w:rPr>
        <w:fldChar w:fldCharType="end"/>
      </w:r>
      <w:r>
        <w:rPr>
          <w:color w:val="auto"/>
          <w:szCs w:val="36"/>
          <w:highlight w:val="none"/>
          <w:lang w:eastAsia="zh-CN"/>
        </w:rPr>
        <w:fldChar w:fldCharType="end"/>
      </w:r>
    </w:p>
    <w:p w14:paraId="26726CB3">
      <w:pPr>
        <w:pStyle w:val="31"/>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_Toc11338 </w:instrText>
      </w:r>
      <w:r>
        <w:rPr>
          <w:color w:val="auto"/>
          <w:szCs w:val="36"/>
          <w:highlight w:val="none"/>
          <w:lang w:eastAsia="zh-CN"/>
        </w:rPr>
        <w:fldChar w:fldCharType="separate"/>
      </w:r>
      <w:r>
        <w:rPr>
          <w:rFonts w:hint="eastAsia"/>
          <w:color w:val="auto"/>
          <w:szCs w:val="36"/>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_Toc11338 \h </w:instrText>
      </w:r>
      <w:r>
        <w:rPr>
          <w:color w:val="auto"/>
          <w:highlight w:val="none"/>
        </w:rPr>
        <w:fldChar w:fldCharType="separate"/>
      </w:r>
      <w:r>
        <w:rPr>
          <w:color w:val="auto"/>
          <w:highlight w:val="none"/>
        </w:rPr>
        <w:t>22</w:t>
      </w:r>
      <w:r>
        <w:rPr>
          <w:color w:val="auto"/>
          <w:highlight w:val="none"/>
        </w:rPr>
        <w:fldChar w:fldCharType="end"/>
      </w:r>
      <w:r>
        <w:rPr>
          <w:color w:val="auto"/>
          <w:szCs w:val="36"/>
          <w:highlight w:val="none"/>
          <w:lang w:eastAsia="zh-CN"/>
        </w:rPr>
        <w:fldChar w:fldCharType="end"/>
      </w:r>
    </w:p>
    <w:p w14:paraId="6F990EFC">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_Toc5865 </w:instrText>
      </w:r>
      <w:r>
        <w:rPr>
          <w:color w:val="auto"/>
          <w:szCs w:val="36"/>
          <w:highlight w:val="none"/>
          <w:lang w:eastAsia="zh-CN"/>
        </w:rPr>
        <w:fldChar w:fldCharType="separate"/>
      </w:r>
      <w:r>
        <w:rPr>
          <w:rFonts w:hint="eastAsia" w:ascii="宋体" w:hAnsi="宋体" w:cs="宋体"/>
          <w:bCs/>
          <w:color w:val="auto"/>
          <w:szCs w:val="21"/>
          <w:highlight w:val="none"/>
        </w:rPr>
        <w:t>1、评标方法</w:t>
      </w:r>
      <w:r>
        <w:rPr>
          <w:color w:val="auto"/>
          <w:highlight w:val="none"/>
        </w:rPr>
        <w:tab/>
      </w:r>
      <w:r>
        <w:rPr>
          <w:color w:val="auto"/>
          <w:highlight w:val="none"/>
        </w:rPr>
        <w:fldChar w:fldCharType="begin"/>
      </w:r>
      <w:r>
        <w:rPr>
          <w:color w:val="auto"/>
          <w:highlight w:val="none"/>
        </w:rPr>
        <w:instrText xml:space="preserve"> PAGEREF _Toc5865 \h </w:instrText>
      </w:r>
      <w:r>
        <w:rPr>
          <w:color w:val="auto"/>
          <w:highlight w:val="none"/>
        </w:rPr>
        <w:fldChar w:fldCharType="separate"/>
      </w:r>
      <w:r>
        <w:rPr>
          <w:color w:val="auto"/>
          <w:highlight w:val="none"/>
        </w:rPr>
        <w:t>23</w:t>
      </w:r>
      <w:r>
        <w:rPr>
          <w:color w:val="auto"/>
          <w:highlight w:val="none"/>
        </w:rPr>
        <w:fldChar w:fldCharType="end"/>
      </w:r>
      <w:r>
        <w:rPr>
          <w:color w:val="auto"/>
          <w:szCs w:val="36"/>
          <w:highlight w:val="none"/>
          <w:lang w:eastAsia="zh-CN"/>
        </w:rPr>
        <w:fldChar w:fldCharType="end"/>
      </w:r>
    </w:p>
    <w:p w14:paraId="7F6D01E7">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_Toc7847 </w:instrText>
      </w:r>
      <w:r>
        <w:rPr>
          <w:color w:val="auto"/>
          <w:szCs w:val="36"/>
          <w:highlight w:val="none"/>
          <w:lang w:eastAsia="zh-CN"/>
        </w:rPr>
        <w:fldChar w:fldCharType="separate"/>
      </w:r>
      <w:r>
        <w:rPr>
          <w:rFonts w:hint="eastAsia" w:ascii="宋体" w:hAnsi="宋体" w:cs="宋体"/>
          <w:bCs/>
          <w:color w:val="auto"/>
          <w:szCs w:val="21"/>
          <w:highlight w:val="none"/>
        </w:rPr>
        <w:t>2、评审标准</w:t>
      </w:r>
      <w:r>
        <w:rPr>
          <w:color w:val="auto"/>
          <w:highlight w:val="none"/>
        </w:rPr>
        <w:tab/>
      </w:r>
      <w:r>
        <w:rPr>
          <w:color w:val="auto"/>
          <w:highlight w:val="none"/>
        </w:rPr>
        <w:fldChar w:fldCharType="begin"/>
      </w:r>
      <w:r>
        <w:rPr>
          <w:color w:val="auto"/>
          <w:highlight w:val="none"/>
        </w:rPr>
        <w:instrText xml:space="preserve"> PAGEREF _Toc7847 \h </w:instrText>
      </w:r>
      <w:r>
        <w:rPr>
          <w:color w:val="auto"/>
          <w:highlight w:val="none"/>
        </w:rPr>
        <w:fldChar w:fldCharType="separate"/>
      </w:r>
      <w:r>
        <w:rPr>
          <w:color w:val="auto"/>
          <w:highlight w:val="none"/>
        </w:rPr>
        <w:t>23</w:t>
      </w:r>
      <w:r>
        <w:rPr>
          <w:color w:val="auto"/>
          <w:highlight w:val="none"/>
        </w:rPr>
        <w:fldChar w:fldCharType="end"/>
      </w:r>
      <w:r>
        <w:rPr>
          <w:color w:val="auto"/>
          <w:szCs w:val="36"/>
          <w:highlight w:val="none"/>
          <w:lang w:eastAsia="zh-CN"/>
        </w:rPr>
        <w:fldChar w:fldCharType="end"/>
      </w:r>
    </w:p>
    <w:p w14:paraId="7D7E46AC">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_Toc31755 </w:instrText>
      </w:r>
      <w:r>
        <w:rPr>
          <w:color w:val="auto"/>
          <w:szCs w:val="36"/>
          <w:highlight w:val="none"/>
          <w:lang w:eastAsia="zh-CN"/>
        </w:rPr>
        <w:fldChar w:fldCharType="separate"/>
      </w:r>
      <w:r>
        <w:rPr>
          <w:rFonts w:hint="eastAsia" w:ascii="宋体" w:hAnsi="宋体" w:cs="宋体"/>
          <w:bCs/>
          <w:color w:val="auto"/>
          <w:szCs w:val="21"/>
          <w:highlight w:val="none"/>
        </w:rPr>
        <w:t>3、评标程序</w:t>
      </w:r>
      <w:r>
        <w:rPr>
          <w:color w:val="auto"/>
          <w:highlight w:val="none"/>
        </w:rPr>
        <w:tab/>
      </w:r>
      <w:r>
        <w:rPr>
          <w:color w:val="auto"/>
          <w:highlight w:val="none"/>
        </w:rPr>
        <w:fldChar w:fldCharType="begin"/>
      </w:r>
      <w:r>
        <w:rPr>
          <w:color w:val="auto"/>
          <w:highlight w:val="none"/>
        </w:rPr>
        <w:instrText xml:space="preserve"> PAGEREF _Toc31755 \h </w:instrText>
      </w:r>
      <w:r>
        <w:rPr>
          <w:color w:val="auto"/>
          <w:highlight w:val="none"/>
        </w:rPr>
        <w:fldChar w:fldCharType="separate"/>
      </w:r>
      <w:r>
        <w:rPr>
          <w:color w:val="auto"/>
          <w:highlight w:val="none"/>
        </w:rPr>
        <w:t>23</w:t>
      </w:r>
      <w:r>
        <w:rPr>
          <w:color w:val="auto"/>
          <w:highlight w:val="none"/>
        </w:rPr>
        <w:fldChar w:fldCharType="end"/>
      </w:r>
      <w:r>
        <w:rPr>
          <w:color w:val="auto"/>
          <w:szCs w:val="36"/>
          <w:highlight w:val="none"/>
          <w:lang w:eastAsia="zh-CN"/>
        </w:rPr>
        <w:fldChar w:fldCharType="end"/>
      </w:r>
    </w:p>
    <w:p w14:paraId="2D389A28">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_Toc25532 </w:instrText>
      </w:r>
      <w:r>
        <w:rPr>
          <w:color w:val="auto"/>
          <w:szCs w:val="36"/>
          <w:highlight w:val="none"/>
          <w:lang w:eastAsia="zh-CN"/>
        </w:rPr>
        <w:fldChar w:fldCharType="separate"/>
      </w:r>
      <w:r>
        <w:rPr>
          <w:rFonts w:hint="eastAsia" w:ascii="宋体" w:hAnsi="宋体" w:cs="宋体"/>
          <w:bCs/>
          <w:color w:val="auto"/>
          <w:szCs w:val="21"/>
          <w:highlight w:val="none"/>
        </w:rPr>
        <w:t>4、通用评标规则</w:t>
      </w:r>
      <w:r>
        <w:rPr>
          <w:color w:val="auto"/>
          <w:highlight w:val="none"/>
        </w:rPr>
        <w:tab/>
      </w:r>
      <w:r>
        <w:rPr>
          <w:color w:val="auto"/>
          <w:highlight w:val="none"/>
        </w:rPr>
        <w:fldChar w:fldCharType="begin"/>
      </w:r>
      <w:r>
        <w:rPr>
          <w:color w:val="auto"/>
          <w:highlight w:val="none"/>
        </w:rPr>
        <w:instrText xml:space="preserve"> PAGEREF _Toc25532 \h </w:instrText>
      </w:r>
      <w:r>
        <w:rPr>
          <w:color w:val="auto"/>
          <w:highlight w:val="none"/>
        </w:rPr>
        <w:fldChar w:fldCharType="separate"/>
      </w:r>
      <w:r>
        <w:rPr>
          <w:color w:val="auto"/>
          <w:highlight w:val="none"/>
        </w:rPr>
        <w:t>24</w:t>
      </w:r>
      <w:r>
        <w:rPr>
          <w:color w:val="auto"/>
          <w:highlight w:val="none"/>
        </w:rPr>
        <w:fldChar w:fldCharType="end"/>
      </w:r>
      <w:r>
        <w:rPr>
          <w:color w:val="auto"/>
          <w:szCs w:val="36"/>
          <w:highlight w:val="none"/>
          <w:lang w:eastAsia="zh-CN"/>
        </w:rPr>
        <w:fldChar w:fldCharType="end"/>
      </w:r>
    </w:p>
    <w:p w14:paraId="17E8BD43">
      <w:pPr>
        <w:pStyle w:val="31"/>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_Toc21506 </w:instrText>
      </w:r>
      <w:r>
        <w:rPr>
          <w:color w:val="auto"/>
          <w:szCs w:val="36"/>
          <w:highlight w:val="none"/>
          <w:lang w:eastAsia="zh-CN"/>
        </w:rPr>
        <w:fldChar w:fldCharType="separate"/>
      </w:r>
      <w:r>
        <w:rPr>
          <w:rFonts w:hint="eastAsia"/>
          <w:color w:val="auto"/>
          <w:szCs w:val="36"/>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26</w:t>
      </w:r>
      <w:r>
        <w:rPr>
          <w:color w:val="auto"/>
          <w:highlight w:val="none"/>
        </w:rPr>
        <w:fldChar w:fldCharType="end"/>
      </w:r>
      <w:r>
        <w:rPr>
          <w:color w:val="auto"/>
          <w:szCs w:val="36"/>
          <w:highlight w:val="none"/>
          <w:lang w:eastAsia="zh-CN"/>
        </w:rPr>
        <w:fldChar w:fldCharType="end"/>
      </w:r>
    </w:p>
    <w:p w14:paraId="59FDC6F9">
      <w:pPr>
        <w:pStyle w:val="31"/>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_Toc22613 </w:instrText>
      </w:r>
      <w:r>
        <w:rPr>
          <w:color w:val="auto"/>
          <w:szCs w:val="36"/>
          <w:highlight w:val="none"/>
          <w:lang w:eastAsia="zh-CN"/>
        </w:rPr>
        <w:fldChar w:fldCharType="separate"/>
      </w:r>
      <w:r>
        <w:rPr>
          <w:rFonts w:hint="eastAsia"/>
          <w:color w:val="auto"/>
          <w:szCs w:val="36"/>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_Toc22613 \h </w:instrText>
      </w:r>
      <w:r>
        <w:rPr>
          <w:color w:val="auto"/>
          <w:highlight w:val="none"/>
        </w:rPr>
        <w:fldChar w:fldCharType="separate"/>
      </w:r>
      <w:r>
        <w:rPr>
          <w:color w:val="auto"/>
          <w:highlight w:val="none"/>
        </w:rPr>
        <w:t>30</w:t>
      </w:r>
      <w:r>
        <w:rPr>
          <w:color w:val="auto"/>
          <w:highlight w:val="none"/>
        </w:rPr>
        <w:fldChar w:fldCharType="end"/>
      </w:r>
      <w:r>
        <w:rPr>
          <w:color w:val="auto"/>
          <w:szCs w:val="36"/>
          <w:highlight w:val="none"/>
          <w:lang w:eastAsia="zh-CN"/>
        </w:rPr>
        <w:fldChar w:fldCharType="end"/>
      </w:r>
    </w:p>
    <w:p w14:paraId="098F182F">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_Toc10845 </w:instrText>
      </w:r>
      <w:r>
        <w:rPr>
          <w:color w:val="auto"/>
          <w:szCs w:val="36"/>
          <w:highlight w:val="none"/>
          <w:lang w:eastAsia="zh-CN"/>
        </w:rPr>
        <w:fldChar w:fldCharType="separate"/>
      </w:r>
      <w:r>
        <w:rPr>
          <w:rFonts w:hint="eastAsia"/>
          <w:color w:val="auto"/>
          <w:szCs w:val="24"/>
          <w:highlight w:val="none"/>
          <w:lang w:eastAsia="zh-CN"/>
        </w:rPr>
        <w:t>投标文件封</w:t>
      </w:r>
      <w:r>
        <w:rPr>
          <w:rFonts w:hint="eastAsia"/>
          <w:color w:val="auto"/>
          <w:szCs w:val="24"/>
          <w:highlight w:val="none"/>
          <w:lang w:val="en-US" w:eastAsia="zh-CN"/>
        </w:rPr>
        <w:t>袋</w:t>
      </w:r>
      <w:r>
        <w:rPr>
          <w:rFonts w:hint="eastAsia"/>
          <w:color w:val="auto"/>
          <w:szCs w:val="24"/>
          <w:highlight w:val="none"/>
          <w:lang w:eastAsia="zh-CN"/>
        </w:rPr>
        <w:t>式样：（</w:t>
      </w:r>
      <w:r>
        <w:rPr>
          <w:rFonts w:hint="eastAsia"/>
          <w:color w:val="auto"/>
          <w:szCs w:val="24"/>
          <w:highlight w:val="none"/>
          <w:lang w:val="en-US" w:eastAsia="zh-CN"/>
        </w:rPr>
        <w:t>投标时自行删除此行文字</w:t>
      </w:r>
      <w:r>
        <w:rPr>
          <w:rFonts w:hint="eastAsia"/>
          <w:color w:val="auto"/>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_Toc10845 \h </w:instrText>
      </w:r>
      <w:r>
        <w:rPr>
          <w:color w:val="auto"/>
          <w:highlight w:val="none"/>
        </w:rPr>
        <w:fldChar w:fldCharType="separate"/>
      </w:r>
      <w:r>
        <w:rPr>
          <w:color w:val="auto"/>
          <w:highlight w:val="none"/>
        </w:rPr>
        <w:t>31</w:t>
      </w:r>
      <w:r>
        <w:rPr>
          <w:color w:val="auto"/>
          <w:highlight w:val="none"/>
        </w:rPr>
        <w:fldChar w:fldCharType="end"/>
      </w:r>
      <w:r>
        <w:rPr>
          <w:color w:val="auto"/>
          <w:szCs w:val="36"/>
          <w:highlight w:val="none"/>
          <w:lang w:eastAsia="zh-CN"/>
        </w:rPr>
        <w:fldChar w:fldCharType="end"/>
      </w:r>
    </w:p>
    <w:p w14:paraId="35E75EFE">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_Toc15344 </w:instrText>
      </w:r>
      <w:r>
        <w:rPr>
          <w:color w:val="auto"/>
          <w:szCs w:val="36"/>
          <w:highlight w:val="none"/>
          <w:lang w:eastAsia="zh-CN"/>
        </w:rPr>
        <w:fldChar w:fldCharType="separate"/>
      </w:r>
      <w:r>
        <w:rPr>
          <w:rFonts w:hint="eastAsia"/>
          <w:color w:val="auto"/>
          <w:szCs w:val="24"/>
          <w:highlight w:val="none"/>
          <w:lang w:eastAsia="zh-CN"/>
        </w:rPr>
        <w:t>投标文件封面式样：（</w:t>
      </w:r>
      <w:r>
        <w:rPr>
          <w:rFonts w:hint="eastAsia"/>
          <w:color w:val="auto"/>
          <w:szCs w:val="24"/>
          <w:highlight w:val="none"/>
          <w:lang w:val="en-US" w:eastAsia="zh-CN"/>
        </w:rPr>
        <w:t>投标时自行删除此行文字</w:t>
      </w:r>
      <w:r>
        <w:rPr>
          <w:rFonts w:hint="eastAsia"/>
          <w:color w:val="auto"/>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_Toc15344 \h </w:instrText>
      </w:r>
      <w:r>
        <w:rPr>
          <w:color w:val="auto"/>
          <w:highlight w:val="none"/>
        </w:rPr>
        <w:fldChar w:fldCharType="separate"/>
      </w:r>
      <w:r>
        <w:rPr>
          <w:color w:val="auto"/>
          <w:highlight w:val="none"/>
        </w:rPr>
        <w:t>32</w:t>
      </w:r>
      <w:r>
        <w:rPr>
          <w:color w:val="auto"/>
          <w:highlight w:val="none"/>
        </w:rPr>
        <w:fldChar w:fldCharType="end"/>
      </w:r>
      <w:r>
        <w:rPr>
          <w:color w:val="auto"/>
          <w:szCs w:val="36"/>
          <w:highlight w:val="none"/>
          <w:lang w:eastAsia="zh-CN"/>
        </w:rPr>
        <w:fldChar w:fldCharType="end"/>
      </w:r>
    </w:p>
    <w:p w14:paraId="445B932E">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_Toc16931 </w:instrText>
      </w:r>
      <w:r>
        <w:rPr>
          <w:color w:val="auto"/>
          <w:szCs w:val="36"/>
          <w:highlight w:val="none"/>
          <w:lang w:eastAsia="zh-CN"/>
        </w:rPr>
        <w:fldChar w:fldCharType="separate"/>
      </w:r>
      <w:r>
        <w:rPr>
          <w:rFonts w:hint="eastAsia"/>
          <w:color w:val="auto"/>
          <w:szCs w:val="24"/>
          <w:highlight w:val="none"/>
          <w:lang w:eastAsia="zh-CN"/>
        </w:rPr>
        <w:t>一、 法定代表人</w:t>
      </w:r>
      <w:r>
        <w:rPr>
          <w:rFonts w:hint="eastAsia"/>
          <w:color w:val="auto"/>
          <w:szCs w:val="24"/>
          <w:highlight w:val="none"/>
          <w:lang w:val="en-US" w:eastAsia="zh-CN"/>
        </w:rPr>
        <w:t>/</w:t>
      </w:r>
      <w:r>
        <w:rPr>
          <w:rFonts w:hint="eastAsia"/>
          <w:color w:val="auto"/>
          <w:szCs w:val="24"/>
          <w:highlight w:val="none"/>
          <w:lang w:eastAsia="zh-CN"/>
        </w:rPr>
        <w:t>执行事务合伙人身份证明</w:t>
      </w:r>
      <w:r>
        <w:rPr>
          <w:color w:val="auto"/>
          <w:highlight w:val="none"/>
        </w:rPr>
        <w:tab/>
      </w:r>
      <w:r>
        <w:rPr>
          <w:color w:val="auto"/>
          <w:highlight w:val="none"/>
        </w:rPr>
        <w:fldChar w:fldCharType="begin"/>
      </w:r>
      <w:r>
        <w:rPr>
          <w:color w:val="auto"/>
          <w:highlight w:val="none"/>
        </w:rPr>
        <w:instrText xml:space="preserve"> PAGEREF _Toc16931 \h </w:instrText>
      </w:r>
      <w:r>
        <w:rPr>
          <w:color w:val="auto"/>
          <w:highlight w:val="none"/>
        </w:rPr>
        <w:fldChar w:fldCharType="separate"/>
      </w:r>
      <w:r>
        <w:rPr>
          <w:color w:val="auto"/>
          <w:highlight w:val="none"/>
        </w:rPr>
        <w:t>33</w:t>
      </w:r>
      <w:r>
        <w:rPr>
          <w:color w:val="auto"/>
          <w:highlight w:val="none"/>
        </w:rPr>
        <w:fldChar w:fldCharType="end"/>
      </w:r>
      <w:r>
        <w:rPr>
          <w:color w:val="auto"/>
          <w:szCs w:val="36"/>
          <w:highlight w:val="none"/>
          <w:lang w:eastAsia="zh-CN"/>
        </w:rPr>
        <w:fldChar w:fldCharType="end"/>
      </w:r>
    </w:p>
    <w:p w14:paraId="32D76CC9">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_Toc18676 </w:instrText>
      </w:r>
      <w:r>
        <w:rPr>
          <w:color w:val="auto"/>
          <w:szCs w:val="36"/>
          <w:highlight w:val="none"/>
          <w:lang w:eastAsia="zh-CN"/>
        </w:rPr>
        <w:fldChar w:fldCharType="separate"/>
      </w:r>
      <w:r>
        <w:rPr>
          <w:rFonts w:hint="eastAsia"/>
          <w:color w:val="auto"/>
          <w:szCs w:val="24"/>
          <w:highlight w:val="none"/>
          <w:lang w:eastAsia="zh-CN"/>
        </w:rPr>
        <w:t>二、授权委托书</w:t>
      </w:r>
      <w:r>
        <w:rPr>
          <w:color w:val="auto"/>
          <w:highlight w:val="none"/>
        </w:rPr>
        <w:tab/>
      </w:r>
      <w:r>
        <w:rPr>
          <w:color w:val="auto"/>
          <w:highlight w:val="none"/>
        </w:rPr>
        <w:fldChar w:fldCharType="begin"/>
      </w:r>
      <w:r>
        <w:rPr>
          <w:color w:val="auto"/>
          <w:highlight w:val="none"/>
        </w:rPr>
        <w:instrText xml:space="preserve"> PAGEREF _Toc18676 \h </w:instrText>
      </w:r>
      <w:r>
        <w:rPr>
          <w:color w:val="auto"/>
          <w:highlight w:val="none"/>
        </w:rPr>
        <w:fldChar w:fldCharType="separate"/>
      </w:r>
      <w:r>
        <w:rPr>
          <w:color w:val="auto"/>
          <w:highlight w:val="none"/>
        </w:rPr>
        <w:t>35</w:t>
      </w:r>
      <w:r>
        <w:rPr>
          <w:color w:val="auto"/>
          <w:highlight w:val="none"/>
        </w:rPr>
        <w:fldChar w:fldCharType="end"/>
      </w:r>
      <w:r>
        <w:rPr>
          <w:color w:val="auto"/>
          <w:szCs w:val="36"/>
          <w:highlight w:val="none"/>
          <w:lang w:eastAsia="zh-CN"/>
        </w:rPr>
        <w:fldChar w:fldCharType="end"/>
      </w:r>
    </w:p>
    <w:p w14:paraId="5727F20C">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_Toc18867 </w:instrText>
      </w:r>
      <w:r>
        <w:rPr>
          <w:color w:val="auto"/>
          <w:szCs w:val="36"/>
          <w:highlight w:val="none"/>
          <w:lang w:eastAsia="zh-CN"/>
        </w:rPr>
        <w:fldChar w:fldCharType="separate"/>
      </w:r>
      <w:r>
        <w:rPr>
          <w:rFonts w:hint="eastAsia"/>
          <w:color w:val="auto"/>
          <w:szCs w:val="24"/>
          <w:highlight w:val="none"/>
          <w:lang w:eastAsia="zh-CN"/>
        </w:rPr>
        <w:t>三、投标函</w:t>
      </w:r>
      <w:r>
        <w:rPr>
          <w:color w:val="auto"/>
          <w:highlight w:val="none"/>
        </w:rPr>
        <w:tab/>
      </w:r>
      <w:r>
        <w:rPr>
          <w:color w:val="auto"/>
          <w:highlight w:val="none"/>
        </w:rPr>
        <w:fldChar w:fldCharType="begin"/>
      </w:r>
      <w:r>
        <w:rPr>
          <w:color w:val="auto"/>
          <w:highlight w:val="none"/>
        </w:rPr>
        <w:instrText xml:space="preserve"> PAGEREF _Toc18867 \h </w:instrText>
      </w:r>
      <w:r>
        <w:rPr>
          <w:color w:val="auto"/>
          <w:highlight w:val="none"/>
        </w:rPr>
        <w:fldChar w:fldCharType="separate"/>
      </w:r>
      <w:r>
        <w:rPr>
          <w:color w:val="auto"/>
          <w:highlight w:val="none"/>
        </w:rPr>
        <w:t>36</w:t>
      </w:r>
      <w:r>
        <w:rPr>
          <w:color w:val="auto"/>
          <w:highlight w:val="none"/>
        </w:rPr>
        <w:fldChar w:fldCharType="end"/>
      </w:r>
      <w:r>
        <w:rPr>
          <w:color w:val="auto"/>
          <w:szCs w:val="36"/>
          <w:highlight w:val="none"/>
          <w:lang w:eastAsia="zh-CN"/>
        </w:rPr>
        <w:fldChar w:fldCharType="end"/>
      </w:r>
    </w:p>
    <w:p w14:paraId="6E1C16AC">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_Toc9101 </w:instrText>
      </w:r>
      <w:r>
        <w:rPr>
          <w:color w:val="auto"/>
          <w:szCs w:val="36"/>
          <w:highlight w:val="none"/>
          <w:lang w:eastAsia="zh-CN"/>
        </w:rPr>
        <w:fldChar w:fldCharType="separate"/>
      </w:r>
      <w:r>
        <w:rPr>
          <w:rFonts w:hint="eastAsia"/>
          <w:color w:val="auto"/>
          <w:szCs w:val="24"/>
          <w:highlight w:val="none"/>
          <w:lang w:val="en-US" w:eastAsia="zh-CN"/>
        </w:rPr>
        <w:t>四</w:t>
      </w:r>
      <w:r>
        <w:rPr>
          <w:rFonts w:hint="eastAsia"/>
          <w:color w:val="auto"/>
          <w:szCs w:val="24"/>
          <w:highlight w:val="none"/>
          <w:lang w:eastAsia="zh-CN"/>
        </w:rPr>
        <w:t>、资格审查资料</w:t>
      </w:r>
      <w:r>
        <w:rPr>
          <w:color w:val="auto"/>
          <w:highlight w:val="none"/>
        </w:rPr>
        <w:tab/>
      </w:r>
      <w:r>
        <w:rPr>
          <w:color w:val="auto"/>
          <w:highlight w:val="none"/>
        </w:rPr>
        <w:fldChar w:fldCharType="begin"/>
      </w:r>
      <w:r>
        <w:rPr>
          <w:color w:val="auto"/>
          <w:highlight w:val="none"/>
        </w:rPr>
        <w:instrText xml:space="preserve"> PAGEREF _Toc9101 \h </w:instrText>
      </w:r>
      <w:r>
        <w:rPr>
          <w:color w:val="auto"/>
          <w:highlight w:val="none"/>
        </w:rPr>
        <w:fldChar w:fldCharType="separate"/>
      </w:r>
      <w:r>
        <w:rPr>
          <w:color w:val="auto"/>
          <w:highlight w:val="none"/>
        </w:rPr>
        <w:t>37</w:t>
      </w:r>
      <w:r>
        <w:rPr>
          <w:color w:val="auto"/>
          <w:highlight w:val="none"/>
        </w:rPr>
        <w:fldChar w:fldCharType="end"/>
      </w:r>
      <w:r>
        <w:rPr>
          <w:color w:val="auto"/>
          <w:szCs w:val="36"/>
          <w:highlight w:val="none"/>
          <w:lang w:eastAsia="zh-CN"/>
        </w:rPr>
        <w:fldChar w:fldCharType="end"/>
      </w:r>
    </w:p>
    <w:p w14:paraId="7AFFD4B2">
      <w:pPr>
        <w:pStyle w:val="36"/>
        <w:tabs>
          <w:tab w:val="right" w:leader="dot" w:pos="9072"/>
        </w:tabs>
        <w:rPr>
          <w:color w:val="auto"/>
          <w:highlight w:val="none"/>
        </w:rPr>
      </w:pPr>
      <w:r>
        <w:rPr>
          <w:color w:val="auto"/>
          <w:szCs w:val="36"/>
          <w:highlight w:val="none"/>
          <w:lang w:eastAsia="zh-CN"/>
        </w:rPr>
        <w:fldChar w:fldCharType="begin"/>
      </w:r>
      <w:r>
        <w:rPr>
          <w:color w:val="auto"/>
          <w:szCs w:val="36"/>
          <w:highlight w:val="none"/>
          <w:lang w:eastAsia="zh-CN"/>
        </w:rPr>
        <w:instrText xml:space="preserve"> HYPERLINK \l _Toc28331 </w:instrText>
      </w:r>
      <w:r>
        <w:rPr>
          <w:color w:val="auto"/>
          <w:szCs w:val="36"/>
          <w:highlight w:val="none"/>
          <w:lang w:eastAsia="zh-CN"/>
        </w:rPr>
        <w:fldChar w:fldCharType="separate"/>
      </w:r>
      <w:r>
        <w:rPr>
          <w:rFonts w:hint="eastAsia"/>
          <w:color w:val="auto"/>
          <w:szCs w:val="24"/>
          <w:highlight w:val="none"/>
          <w:lang w:val="en-US" w:eastAsia="zh-CN"/>
        </w:rPr>
        <w:t>五</w:t>
      </w:r>
      <w:r>
        <w:rPr>
          <w:rFonts w:hint="eastAsia"/>
          <w:color w:val="auto"/>
          <w:szCs w:val="24"/>
          <w:highlight w:val="none"/>
          <w:lang w:eastAsia="zh-CN"/>
        </w:rPr>
        <w:t>、招标文件规定须提供的以及投标人认为必要的其他文件</w:t>
      </w:r>
      <w:r>
        <w:rPr>
          <w:color w:val="auto"/>
          <w:highlight w:val="none"/>
        </w:rPr>
        <w:tab/>
      </w:r>
      <w:r>
        <w:rPr>
          <w:color w:val="auto"/>
          <w:highlight w:val="none"/>
        </w:rPr>
        <w:fldChar w:fldCharType="begin"/>
      </w:r>
      <w:r>
        <w:rPr>
          <w:color w:val="auto"/>
          <w:highlight w:val="none"/>
        </w:rPr>
        <w:instrText xml:space="preserve"> PAGEREF _Toc28331 \h </w:instrText>
      </w:r>
      <w:r>
        <w:rPr>
          <w:color w:val="auto"/>
          <w:highlight w:val="none"/>
        </w:rPr>
        <w:fldChar w:fldCharType="separate"/>
      </w:r>
      <w:r>
        <w:rPr>
          <w:color w:val="auto"/>
          <w:highlight w:val="none"/>
        </w:rPr>
        <w:t>38</w:t>
      </w:r>
      <w:r>
        <w:rPr>
          <w:color w:val="auto"/>
          <w:highlight w:val="none"/>
        </w:rPr>
        <w:fldChar w:fldCharType="end"/>
      </w:r>
      <w:r>
        <w:rPr>
          <w:color w:val="auto"/>
          <w:szCs w:val="36"/>
          <w:highlight w:val="none"/>
          <w:lang w:eastAsia="zh-CN"/>
        </w:rPr>
        <w:fldChar w:fldCharType="end"/>
      </w:r>
    </w:p>
    <w:p w14:paraId="23202366">
      <w:pPr>
        <w:rPr>
          <w:rFonts w:hint="eastAsia"/>
          <w:color w:val="auto"/>
          <w:sz w:val="36"/>
          <w:szCs w:val="36"/>
          <w:highlight w:val="none"/>
          <w:lang w:eastAsia="zh-CN"/>
        </w:rPr>
      </w:pPr>
      <w:r>
        <w:rPr>
          <w:color w:val="auto"/>
          <w:szCs w:val="36"/>
          <w:highlight w:val="none"/>
          <w:lang w:eastAsia="zh-CN"/>
        </w:rPr>
        <w:fldChar w:fldCharType="end"/>
      </w:r>
      <w:r>
        <w:rPr>
          <w:rFonts w:hint="eastAsia"/>
          <w:color w:val="auto"/>
          <w:sz w:val="36"/>
          <w:szCs w:val="36"/>
          <w:highlight w:val="none"/>
          <w:lang w:eastAsia="zh-CN"/>
        </w:rPr>
        <w:br w:type="page"/>
      </w:r>
    </w:p>
    <w:p w14:paraId="645CE0C1">
      <w:pPr>
        <w:pStyle w:val="65"/>
        <w:spacing w:line="360" w:lineRule="auto"/>
        <w:rPr>
          <w:rFonts w:hint="eastAsia"/>
          <w:color w:val="auto"/>
          <w:sz w:val="36"/>
          <w:szCs w:val="36"/>
          <w:highlight w:val="none"/>
        </w:rPr>
      </w:pPr>
      <w:bookmarkStart w:id="6" w:name="_Toc23617"/>
      <w:r>
        <w:rPr>
          <w:rFonts w:hint="eastAsia"/>
          <w:color w:val="auto"/>
          <w:sz w:val="36"/>
          <w:szCs w:val="36"/>
          <w:highlight w:val="none"/>
        </w:rPr>
        <w:t>第一章</w:t>
      </w:r>
      <w:bookmarkStart w:id="7" w:name="OLE_LINK2"/>
      <w:bookmarkStart w:id="8" w:name="OLE_LINK1"/>
      <w:r>
        <w:rPr>
          <w:rFonts w:hint="eastAsia"/>
          <w:color w:val="auto"/>
          <w:sz w:val="36"/>
          <w:szCs w:val="36"/>
          <w:highlight w:val="none"/>
        </w:rPr>
        <w:t xml:space="preserve"> 招标公告</w:t>
      </w:r>
      <w:bookmarkEnd w:id="0"/>
      <w:bookmarkEnd w:id="1"/>
      <w:bookmarkEnd w:id="2"/>
      <w:bookmarkEnd w:id="3"/>
      <w:bookmarkEnd w:id="4"/>
      <w:bookmarkEnd w:id="5"/>
      <w:bookmarkEnd w:id="6"/>
      <w:bookmarkStart w:id="9" w:name="_bookmark2"/>
      <w:bookmarkEnd w:id="9"/>
    </w:p>
    <w:bookmarkEnd w:id="7"/>
    <w:bookmarkEnd w:id="8"/>
    <w:p w14:paraId="602528A8">
      <w:pPr>
        <w:spacing w:line="460" w:lineRule="exact"/>
        <w:ind w:firstLine="422" w:firstLineChars="200"/>
        <w:rPr>
          <w:rFonts w:hint="eastAsia"/>
          <w:b/>
          <w:color w:val="auto"/>
          <w:sz w:val="21"/>
          <w:szCs w:val="21"/>
          <w:highlight w:val="none"/>
          <w:lang w:eastAsia="zh-CN"/>
        </w:rPr>
      </w:pPr>
      <w:bookmarkStart w:id="10" w:name="_Toc65743875"/>
      <w:r>
        <w:rPr>
          <w:rFonts w:hint="eastAsia"/>
          <w:b/>
          <w:color w:val="auto"/>
          <w:sz w:val="21"/>
          <w:szCs w:val="21"/>
          <w:highlight w:val="none"/>
          <w:lang w:eastAsia="zh-CN"/>
        </w:rPr>
        <w:t>一、招标条件</w:t>
      </w:r>
      <w:bookmarkEnd w:id="10"/>
      <w:bookmarkStart w:id="11" w:name="_Toc65743876"/>
    </w:p>
    <w:p w14:paraId="3A37CC3F">
      <w:pPr>
        <w:adjustRightInd w:val="0"/>
        <w:snapToGrid w:val="0"/>
        <w:spacing w:line="460" w:lineRule="exact"/>
        <w:ind w:firstLine="420" w:firstLineChars="200"/>
        <w:rPr>
          <w:rFonts w:hint="eastAsia"/>
          <w:color w:val="auto"/>
          <w:sz w:val="21"/>
          <w:szCs w:val="21"/>
          <w:highlight w:val="none"/>
          <w:shd w:val="clear" w:color="auto" w:fill="FFFFFF"/>
          <w:lang w:eastAsia="zh-CN"/>
        </w:rPr>
      </w:pPr>
      <w:r>
        <w:rPr>
          <w:rFonts w:hint="eastAsia"/>
          <w:color w:val="auto"/>
          <w:sz w:val="21"/>
          <w:szCs w:val="21"/>
          <w:highlight w:val="none"/>
          <w:u w:val="single"/>
          <w:shd w:val="clear" w:color="auto" w:fill="FFFFFF"/>
          <w:lang w:eastAsia="zh-CN"/>
        </w:rPr>
        <w:t>盐城东方投资开发集团有限公司持有江苏星月测绘科技股份有限公司股权价值评估项目</w:t>
      </w:r>
      <w:r>
        <w:rPr>
          <w:rFonts w:hint="eastAsia"/>
          <w:color w:val="auto"/>
          <w:sz w:val="21"/>
          <w:szCs w:val="21"/>
          <w:highlight w:val="none"/>
          <w:shd w:val="clear" w:color="auto" w:fill="FFFFFF"/>
          <w:lang w:eastAsia="zh-CN"/>
        </w:rPr>
        <w:t>已经批准实施，</w:t>
      </w:r>
      <w:r>
        <w:rPr>
          <w:rFonts w:hint="eastAsia"/>
          <w:color w:val="auto"/>
          <w:sz w:val="21"/>
          <w:szCs w:val="21"/>
          <w:highlight w:val="none"/>
          <w:shd w:val="clear" w:color="auto" w:fill="FFFFFF"/>
          <w:lang w:val="en-US" w:eastAsia="zh-CN"/>
        </w:rPr>
        <w:t>招标人为</w:t>
      </w:r>
      <w:r>
        <w:rPr>
          <w:rFonts w:hint="eastAsia"/>
          <w:color w:val="auto"/>
          <w:sz w:val="21"/>
          <w:szCs w:val="21"/>
          <w:highlight w:val="none"/>
          <w:u w:val="single"/>
          <w:shd w:val="clear" w:color="auto" w:fill="FFFFFF"/>
          <w:lang w:eastAsia="zh-CN"/>
        </w:rPr>
        <w:t>盐城东方投资开集团有限公司</w:t>
      </w:r>
      <w:r>
        <w:rPr>
          <w:rFonts w:hint="eastAsia"/>
          <w:color w:val="auto"/>
          <w:sz w:val="21"/>
          <w:szCs w:val="21"/>
          <w:highlight w:val="none"/>
          <w:u w:val="none"/>
          <w:shd w:val="clear" w:color="auto" w:fill="FFFFFF"/>
          <w:lang w:eastAsia="zh-CN"/>
        </w:rPr>
        <w:t>，</w:t>
      </w:r>
      <w:r>
        <w:rPr>
          <w:rFonts w:hint="eastAsia"/>
          <w:color w:val="auto"/>
          <w:sz w:val="21"/>
          <w:szCs w:val="21"/>
          <w:highlight w:val="none"/>
          <w:shd w:val="clear" w:color="auto" w:fill="FFFFFF"/>
          <w:lang w:eastAsia="zh-CN"/>
        </w:rPr>
        <w:t>项目资金来源为国有自筹且已落实，出资比例为100%。现对该项目进行公开招标，邀请合格的潜在投标人参加本项目的投标。</w:t>
      </w:r>
    </w:p>
    <w:bookmarkEnd w:id="11"/>
    <w:p w14:paraId="1F2084B4">
      <w:pPr>
        <w:pStyle w:val="66"/>
        <w:adjustRightInd w:val="0"/>
        <w:snapToGrid w:val="0"/>
        <w:spacing w:line="460" w:lineRule="exact"/>
        <w:ind w:left="0" w:firstLine="422" w:firstLineChars="200"/>
        <w:jc w:val="both"/>
        <w:outlineLvl w:val="9"/>
        <w:rPr>
          <w:rFonts w:hint="eastAsia" w:ascii="宋体" w:hAnsi="宋体" w:eastAsia="宋体" w:cs="宋体"/>
          <w:color w:val="auto"/>
          <w:sz w:val="21"/>
          <w:szCs w:val="21"/>
          <w:highlight w:val="none"/>
          <w:lang w:eastAsia="zh-CN"/>
        </w:rPr>
      </w:pPr>
      <w:bookmarkStart w:id="12" w:name="_bookmark3"/>
      <w:bookmarkEnd w:id="12"/>
      <w:bookmarkStart w:id="13" w:name="_Toc65743877"/>
      <w:r>
        <w:rPr>
          <w:rFonts w:hint="eastAsia" w:ascii="宋体" w:hAnsi="宋体" w:eastAsia="宋体" w:cs="宋体"/>
          <w:color w:val="auto"/>
          <w:sz w:val="21"/>
          <w:szCs w:val="21"/>
          <w:highlight w:val="none"/>
          <w:lang w:eastAsia="zh-CN"/>
        </w:rPr>
        <w:t>二、项目概况与招标范围</w:t>
      </w:r>
      <w:bookmarkEnd w:id="13"/>
    </w:p>
    <w:p w14:paraId="4A445D1A">
      <w:pPr>
        <w:pStyle w:val="66"/>
        <w:adjustRightInd w:val="0"/>
        <w:snapToGrid w:val="0"/>
        <w:spacing w:line="460" w:lineRule="exact"/>
        <w:ind w:left="0" w:firstLine="420" w:firstLineChars="200"/>
        <w:jc w:val="both"/>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eastAsia="zh-CN"/>
        </w:rPr>
        <w:t>1、项目名称：盐城东方投资开发集团有限公司持有江苏星月测绘科技股份有限公司股权价值评估项目。</w:t>
      </w:r>
    </w:p>
    <w:p w14:paraId="11833D04">
      <w:pPr>
        <w:pStyle w:val="66"/>
        <w:adjustRightInd w:val="0"/>
        <w:snapToGrid w:val="0"/>
        <w:spacing w:line="460" w:lineRule="exact"/>
        <w:ind w:left="0" w:firstLine="420" w:firstLineChars="200"/>
        <w:jc w:val="both"/>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lang w:eastAsia="zh-CN"/>
        </w:rPr>
        <w:t>、项目规模：</w:t>
      </w:r>
      <w:r>
        <w:rPr>
          <w:rFonts w:hint="eastAsia" w:ascii="宋体" w:hAnsi="宋体" w:eastAsia="宋体" w:cs="宋体"/>
          <w:b w:val="0"/>
          <w:bCs w:val="0"/>
          <w:color w:val="auto"/>
          <w:sz w:val="21"/>
          <w:szCs w:val="21"/>
          <w:highlight w:val="none"/>
          <w:shd w:val="clear" w:color="auto" w:fill="FFFFFF"/>
          <w:lang w:eastAsia="zh-CN"/>
        </w:rPr>
        <w:t>盐城东方投资开发集团有限公司持有的江苏星月测绘科技股份有限公司股权</w:t>
      </w:r>
      <w:r>
        <w:rPr>
          <w:rFonts w:hint="eastAsia" w:ascii="宋体" w:hAnsi="宋体" w:eastAsia="宋体" w:cs="宋体"/>
          <w:b w:val="0"/>
          <w:bCs w:val="0"/>
          <w:color w:val="auto"/>
          <w:sz w:val="21"/>
          <w:szCs w:val="21"/>
          <w:highlight w:val="none"/>
          <w:shd w:val="clear" w:color="auto" w:fill="FFFFFF"/>
          <w:lang w:val="en-US" w:eastAsia="zh-CN"/>
        </w:rPr>
        <w:t>价值评估</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shd w:val="clear" w:color="auto" w:fill="FFFFFF"/>
          <w:lang w:val="en-US" w:eastAsia="zh-CN"/>
        </w:rPr>
        <w:t>评估服务费</w:t>
      </w:r>
      <w:r>
        <w:rPr>
          <w:rFonts w:hint="eastAsia" w:ascii="宋体" w:hAnsi="宋体" w:eastAsia="宋体" w:cs="宋体"/>
          <w:b w:val="0"/>
          <w:bCs w:val="0"/>
          <w:color w:val="auto"/>
          <w:sz w:val="21"/>
          <w:szCs w:val="21"/>
          <w:highlight w:val="none"/>
          <w:shd w:val="clear" w:color="auto" w:fill="FFFFFF"/>
          <w:lang w:val="en-US" w:eastAsia="zh-CN"/>
        </w:rPr>
        <w:t>不超过10.5万元</w:t>
      </w:r>
      <w:r>
        <w:rPr>
          <w:rFonts w:hint="eastAsia" w:ascii="宋体" w:hAnsi="宋体" w:eastAsia="宋体" w:cs="宋体"/>
          <w:b w:val="0"/>
          <w:bCs w:val="0"/>
          <w:color w:val="auto"/>
          <w:sz w:val="21"/>
          <w:szCs w:val="21"/>
          <w:highlight w:val="none"/>
          <w:shd w:val="clear" w:color="auto" w:fill="FFFFFF"/>
          <w:lang w:val="en-US" w:eastAsia="zh-CN"/>
        </w:rPr>
        <w:t>。</w:t>
      </w:r>
    </w:p>
    <w:p w14:paraId="569D720B">
      <w:pPr>
        <w:spacing w:line="400" w:lineRule="exact"/>
        <w:ind w:firstLine="420" w:firstLineChars="200"/>
        <w:rPr>
          <w:rFonts w:hint="eastAsia"/>
          <w:color w:val="auto"/>
          <w:sz w:val="21"/>
          <w:szCs w:val="21"/>
          <w:highlight w:val="none"/>
          <w:shd w:val="clear" w:color="auto" w:fill="FFFFFF"/>
          <w:lang w:eastAsia="zh-CN"/>
        </w:rPr>
      </w:pP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lang w:eastAsia="zh-CN"/>
        </w:rPr>
        <w:t>、招标范围及内容：</w:t>
      </w:r>
      <w:r>
        <w:rPr>
          <w:rFonts w:hint="eastAsia" w:ascii="宋体" w:hAnsi="宋体" w:eastAsia="宋体" w:cs="宋体"/>
          <w:b w:val="0"/>
          <w:bCs w:val="0"/>
          <w:color w:val="auto"/>
          <w:sz w:val="21"/>
          <w:szCs w:val="21"/>
          <w:highlight w:val="none"/>
          <w:shd w:val="clear" w:color="auto" w:fill="FFFFFF"/>
          <w:lang w:eastAsia="zh-CN"/>
        </w:rPr>
        <w:t>盐城东方投资开发集团有限公司持有</w:t>
      </w:r>
      <w:r>
        <w:rPr>
          <w:rFonts w:hint="eastAsia" w:cs="宋体"/>
          <w:b w:val="0"/>
          <w:bCs w:val="0"/>
          <w:color w:val="auto"/>
          <w:sz w:val="21"/>
          <w:szCs w:val="21"/>
          <w:highlight w:val="none"/>
          <w:shd w:val="clear" w:color="auto" w:fill="FFFFFF"/>
          <w:lang w:val="en-US" w:eastAsia="zh-CN"/>
        </w:rPr>
        <w:t>的</w:t>
      </w:r>
      <w:r>
        <w:rPr>
          <w:rFonts w:hint="eastAsia" w:ascii="宋体" w:hAnsi="宋体" w:eastAsia="宋体" w:cs="宋体"/>
          <w:b w:val="0"/>
          <w:bCs w:val="0"/>
          <w:color w:val="auto"/>
          <w:sz w:val="21"/>
          <w:szCs w:val="21"/>
          <w:highlight w:val="none"/>
          <w:shd w:val="clear" w:color="auto" w:fill="FFFFFF"/>
          <w:lang w:eastAsia="zh-CN"/>
        </w:rPr>
        <w:t>江苏星月测绘科技股份有限公司股权价值评估</w:t>
      </w:r>
      <w:r>
        <w:rPr>
          <w:rFonts w:hint="eastAsia" w:cs="宋体"/>
          <w:b w:val="0"/>
          <w:bCs w:val="0"/>
          <w:color w:val="auto"/>
          <w:sz w:val="21"/>
          <w:szCs w:val="21"/>
          <w:highlight w:val="none"/>
          <w:shd w:val="clear" w:color="auto" w:fill="FFFFFF"/>
          <w:lang w:val="en-US" w:eastAsia="zh-CN"/>
        </w:rPr>
        <w:t>服务</w:t>
      </w:r>
      <w:r>
        <w:rPr>
          <w:rFonts w:hint="eastAsia"/>
          <w:color w:val="auto"/>
          <w:sz w:val="21"/>
          <w:szCs w:val="21"/>
          <w:highlight w:val="none"/>
          <w:shd w:val="clear" w:color="auto" w:fill="FFFFFF"/>
          <w:lang w:eastAsia="zh-CN"/>
        </w:rPr>
        <w:t>，</w:t>
      </w:r>
      <w:r>
        <w:rPr>
          <w:rFonts w:hint="eastAsia"/>
          <w:color w:val="auto"/>
          <w:sz w:val="21"/>
          <w:szCs w:val="21"/>
          <w:highlight w:val="none"/>
          <w:shd w:val="clear" w:color="auto" w:fill="FFFFFF"/>
          <w:lang w:val="en-US" w:eastAsia="zh-CN"/>
        </w:rPr>
        <w:t>持有</w:t>
      </w:r>
      <w:r>
        <w:rPr>
          <w:rFonts w:hint="eastAsia"/>
          <w:color w:val="auto"/>
          <w:sz w:val="21"/>
          <w:szCs w:val="21"/>
          <w:highlight w:val="none"/>
          <w:shd w:val="clear" w:color="auto" w:fill="FFFFFF"/>
          <w:lang w:eastAsia="zh-CN"/>
        </w:rPr>
        <w:t>股权价值截至2024年12月31日，评估报告须通过上级国资部门审核</w:t>
      </w:r>
      <w:r>
        <w:rPr>
          <w:rFonts w:hint="eastAsia"/>
          <w:color w:val="auto"/>
          <w:sz w:val="21"/>
          <w:szCs w:val="21"/>
          <w:highlight w:val="none"/>
          <w:shd w:val="clear" w:color="auto" w:fill="FFFFFF"/>
          <w:lang w:eastAsia="zh-CN"/>
        </w:rPr>
        <w:t>。招标人保留对</w:t>
      </w:r>
      <w:r>
        <w:rPr>
          <w:rFonts w:hint="eastAsia"/>
          <w:color w:val="auto"/>
          <w:sz w:val="21"/>
          <w:szCs w:val="21"/>
          <w:highlight w:val="none"/>
          <w:shd w:val="clear" w:color="auto" w:fill="FFFFFF"/>
          <w:lang w:val="en-US" w:eastAsia="zh-CN"/>
        </w:rPr>
        <w:t>上述</w:t>
      </w:r>
      <w:r>
        <w:rPr>
          <w:rFonts w:hint="eastAsia"/>
          <w:color w:val="auto"/>
          <w:sz w:val="21"/>
          <w:szCs w:val="21"/>
          <w:highlight w:val="none"/>
          <w:shd w:val="clear" w:color="auto" w:fill="FFFFFF"/>
          <w:lang w:eastAsia="zh-CN"/>
        </w:rPr>
        <w:t>招标范围及内容调整的权利。</w:t>
      </w:r>
    </w:p>
    <w:p w14:paraId="7B6A65D4">
      <w:pPr>
        <w:widowControl/>
        <w:spacing w:line="420" w:lineRule="exact"/>
        <w:ind w:firstLine="420" w:firstLineChars="200"/>
        <w:rPr>
          <w:rFonts w:hint="eastAsia"/>
          <w:color w:val="auto"/>
          <w:sz w:val="21"/>
          <w:szCs w:val="21"/>
          <w:highlight w:val="none"/>
          <w:lang w:eastAsia="zh-CN"/>
        </w:rPr>
      </w:pPr>
      <w:r>
        <w:rPr>
          <w:rFonts w:hint="eastAsia"/>
          <w:snapToGrid w:val="0"/>
          <w:color w:val="auto"/>
          <w:sz w:val="21"/>
          <w:szCs w:val="21"/>
          <w:highlight w:val="none"/>
          <w:lang w:val="en-US" w:eastAsia="zh-CN"/>
        </w:rPr>
        <w:t>4</w:t>
      </w:r>
      <w:r>
        <w:rPr>
          <w:rFonts w:hint="eastAsia"/>
          <w:snapToGrid w:val="0"/>
          <w:color w:val="auto"/>
          <w:sz w:val="21"/>
          <w:szCs w:val="21"/>
          <w:highlight w:val="none"/>
          <w:lang w:eastAsia="zh-CN"/>
        </w:rPr>
        <w:t>、工期（服务期限）</w:t>
      </w:r>
      <w:r>
        <w:rPr>
          <w:rFonts w:hint="eastAsia"/>
          <w:color w:val="auto"/>
          <w:sz w:val="21"/>
          <w:szCs w:val="21"/>
          <w:highlight w:val="none"/>
          <w:lang w:eastAsia="zh-CN"/>
        </w:rPr>
        <w:t>：</w:t>
      </w:r>
      <w:r>
        <w:rPr>
          <w:rFonts w:hint="eastAsia"/>
          <w:color w:val="auto"/>
          <w:sz w:val="21"/>
          <w:szCs w:val="21"/>
          <w:highlight w:val="none"/>
          <w:lang w:val="en-US" w:eastAsia="zh-CN"/>
        </w:rPr>
        <w:t>合同签订后15日内完成全部服务工作并提供合格的成果报告，评估报告最终须通过</w:t>
      </w:r>
      <w:r>
        <w:rPr>
          <w:rFonts w:hint="eastAsia"/>
          <w:color w:val="auto"/>
          <w:sz w:val="21"/>
          <w:szCs w:val="21"/>
          <w:highlight w:val="none"/>
          <w:shd w:val="clear" w:color="auto" w:fill="FFFFFF"/>
          <w:lang w:eastAsia="zh-CN"/>
        </w:rPr>
        <w:t>上级国资部门审核</w:t>
      </w:r>
      <w:r>
        <w:rPr>
          <w:rFonts w:hint="eastAsia"/>
          <w:color w:val="auto"/>
          <w:sz w:val="21"/>
          <w:szCs w:val="21"/>
          <w:highlight w:val="none"/>
          <w:lang w:eastAsia="zh-CN"/>
        </w:rPr>
        <w:t>。</w:t>
      </w:r>
    </w:p>
    <w:p w14:paraId="5B90006D">
      <w:pPr>
        <w:adjustRightInd w:val="0"/>
        <w:snapToGrid w:val="0"/>
        <w:spacing w:line="460" w:lineRule="exact"/>
        <w:ind w:firstLine="420" w:firstLineChars="200"/>
        <w:rPr>
          <w:rFonts w:hint="eastAsia"/>
          <w:snapToGrid w:val="0"/>
          <w:color w:val="auto"/>
          <w:sz w:val="21"/>
          <w:szCs w:val="21"/>
          <w:highlight w:val="none"/>
          <w:lang w:eastAsia="zh-CN"/>
        </w:rPr>
      </w:pPr>
      <w:r>
        <w:rPr>
          <w:rFonts w:hint="eastAsia"/>
          <w:color w:val="auto"/>
          <w:sz w:val="21"/>
          <w:szCs w:val="21"/>
          <w:highlight w:val="none"/>
          <w:lang w:val="en-US" w:eastAsia="zh-CN"/>
        </w:rPr>
        <w:t>5</w:t>
      </w:r>
      <w:r>
        <w:rPr>
          <w:rFonts w:hint="eastAsia"/>
          <w:color w:val="auto"/>
          <w:sz w:val="21"/>
          <w:szCs w:val="21"/>
          <w:highlight w:val="none"/>
          <w:lang w:eastAsia="zh-CN"/>
        </w:rPr>
        <w:t>、质量</w:t>
      </w:r>
      <w:r>
        <w:rPr>
          <w:rFonts w:hint="eastAsia"/>
          <w:color w:val="auto"/>
          <w:sz w:val="21"/>
          <w:szCs w:val="21"/>
          <w:highlight w:val="none"/>
          <w:lang w:val="en-US" w:eastAsia="zh-CN"/>
        </w:rPr>
        <w:t>标准</w:t>
      </w:r>
      <w:r>
        <w:rPr>
          <w:rFonts w:hint="eastAsia"/>
          <w:snapToGrid w:val="0"/>
          <w:color w:val="auto"/>
          <w:sz w:val="21"/>
          <w:szCs w:val="21"/>
          <w:highlight w:val="none"/>
          <w:lang w:eastAsia="zh-CN"/>
        </w:rPr>
        <w:t>：</w:t>
      </w:r>
      <w:r>
        <w:rPr>
          <w:rFonts w:hint="eastAsia"/>
          <w:snapToGrid w:val="0"/>
          <w:color w:val="auto"/>
          <w:sz w:val="21"/>
          <w:szCs w:val="21"/>
          <w:highlight w:val="none"/>
          <w:lang w:eastAsia="zh-CN"/>
        </w:rPr>
        <w:t>合格</w:t>
      </w:r>
      <w:r>
        <w:rPr>
          <w:rFonts w:hint="eastAsia"/>
          <w:snapToGrid w:val="0"/>
          <w:color w:val="auto"/>
          <w:sz w:val="21"/>
          <w:szCs w:val="21"/>
          <w:highlight w:val="none"/>
          <w:lang w:val="en-US" w:eastAsia="zh-CN"/>
        </w:rPr>
        <w:t>标准</w:t>
      </w:r>
      <w:r>
        <w:rPr>
          <w:rFonts w:hint="eastAsia"/>
          <w:snapToGrid w:val="0"/>
          <w:color w:val="auto"/>
          <w:sz w:val="21"/>
          <w:szCs w:val="21"/>
          <w:highlight w:val="none"/>
          <w:lang w:eastAsia="zh-CN"/>
        </w:rPr>
        <w:t>，</w:t>
      </w:r>
      <w:r>
        <w:rPr>
          <w:rFonts w:hint="eastAsia"/>
          <w:snapToGrid w:val="0"/>
          <w:color w:val="auto"/>
          <w:sz w:val="21"/>
          <w:szCs w:val="21"/>
          <w:highlight w:val="none"/>
          <w:lang w:val="en-US" w:eastAsia="zh-CN"/>
        </w:rPr>
        <w:t>且</w:t>
      </w:r>
      <w:r>
        <w:rPr>
          <w:rFonts w:hint="eastAsia"/>
          <w:color w:val="auto"/>
          <w:sz w:val="21"/>
          <w:szCs w:val="21"/>
          <w:highlight w:val="none"/>
          <w:lang w:val="en-US" w:eastAsia="zh-CN"/>
        </w:rPr>
        <w:t>评估</w:t>
      </w:r>
      <w:r>
        <w:rPr>
          <w:rFonts w:hint="eastAsia"/>
          <w:snapToGrid w:val="0"/>
          <w:color w:val="auto"/>
          <w:sz w:val="21"/>
          <w:szCs w:val="21"/>
          <w:highlight w:val="none"/>
          <w:lang w:val="en-US" w:eastAsia="zh-CN"/>
        </w:rPr>
        <w:t>报告</w:t>
      </w:r>
      <w:r>
        <w:rPr>
          <w:rFonts w:hint="eastAsia"/>
          <w:color w:val="auto"/>
          <w:sz w:val="21"/>
          <w:szCs w:val="21"/>
          <w:highlight w:val="none"/>
          <w:lang w:val="en-US" w:eastAsia="zh-CN"/>
        </w:rPr>
        <w:t>通过</w:t>
      </w:r>
      <w:r>
        <w:rPr>
          <w:rFonts w:hint="eastAsia"/>
          <w:color w:val="auto"/>
          <w:sz w:val="21"/>
          <w:szCs w:val="21"/>
          <w:highlight w:val="none"/>
          <w:shd w:val="clear" w:color="auto" w:fill="FFFFFF"/>
          <w:lang w:eastAsia="zh-CN"/>
        </w:rPr>
        <w:t>上级国资部门审核</w:t>
      </w:r>
      <w:r>
        <w:rPr>
          <w:rFonts w:hint="eastAsia"/>
          <w:snapToGrid w:val="0"/>
          <w:color w:val="auto"/>
          <w:sz w:val="21"/>
          <w:szCs w:val="21"/>
          <w:highlight w:val="none"/>
          <w:lang w:eastAsia="zh-CN"/>
        </w:rPr>
        <w:t>。</w:t>
      </w:r>
    </w:p>
    <w:p w14:paraId="7D718B00">
      <w:pPr>
        <w:pStyle w:val="24"/>
        <w:spacing w:line="460" w:lineRule="exact"/>
        <w:ind w:firstLine="420" w:firstLineChars="200"/>
        <w:rPr>
          <w:rFonts w:hint="eastAsia" w:hAnsi="宋体"/>
          <w:color w:val="auto"/>
          <w:szCs w:val="21"/>
          <w:highlight w:val="none"/>
        </w:rPr>
      </w:pPr>
      <w:bookmarkStart w:id="14" w:name="_Toc65743878"/>
      <w:r>
        <w:rPr>
          <w:rFonts w:hint="eastAsia" w:hAnsi="宋体"/>
          <w:color w:val="auto"/>
          <w:kern w:val="0"/>
          <w:szCs w:val="21"/>
          <w:highlight w:val="none"/>
          <w:shd w:val="clear" w:color="auto" w:fill="FFFFFF"/>
          <w:lang w:val="en-US" w:eastAsia="zh-CN"/>
        </w:rPr>
        <w:t>6</w:t>
      </w:r>
      <w:r>
        <w:rPr>
          <w:rFonts w:hint="eastAsia" w:hAnsi="宋体"/>
          <w:color w:val="auto"/>
          <w:kern w:val="0"/>
          <w:szCs w:val="21"/>
          <w:highlight w:val="none"/>
          <w:shd w:val="clear" w:color="auto" w:fill="FFFFFF"/>
        </w:rPr>
        <w:t>、</w:t>
      </w:r>
      <w:r>
        <w:rPr>
          <w:rFonts w:hint="eastAsia" w:hAnsi="宋体"/>
          <w:color w:val="auto"/>
          <w:szCs w:val="21"/>
          <w:highlight w:val="none"/>
        </w:rPr>
        <w:t>标段划分：本次招标共一个标段。</w:t>
      </w:r>
    </w:p>
    <w:p w14:paraId="18F8BCC1">
      <w:pPr>
        <w:pStyle w:val="66"/>
        <w:adjustRightInd w:val="0"/>
        <w:snapToGrid w:val="0"/>
        <w:spacing w:line="460" w:lineRule="exact"/>
        <w:ind w:left="0" w:right="0" w:firstLine="422"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三、投标人资格要求</w:t>
      </w:r>
      <w:bookmarkEnd w:id="14"/>
    </w:p>
    <w:p w14:paraId="361E0DFD">
      <w:pPr>
        <w:adjustRightInd w:val="0"/>
        <w:snapToGrid w:val="0"/>
        <w:spacing w:line="460" w:lineRule="exact"/>
        <w:ind w:right="-51" w:rightChars="-23" w:firstLine="420" w:firstLineChars="200"/>
        <w:rPr>
          <w:rFonts w:hint="eastAsia"/>
          <w:color w:val="auto"/>
          <w:sz w:val="21"/>
          <w:szCs w:val="21"/>
          <w:highlight w:val="none"/>
          <w:lang w:val="en-US" w:eastAsia="zh-CN"/>
        </w:rPr>
      </w:pPr>
      <w:r>
        <w:rPr>
          <w:rFonts w:hint="eastAsia"/>
          <w:color w:val="auto"/>
          <w:sz w:val="21"/>
          <w:szCs w:val="21"/>
          <w:highlight w:val="none"/>
          <w:lang w:eastAsia="zh-CN"/>
        </w:rPr>
        <w:t>1、投标人资质要求：</w:t>
      </w:r>
      <w:r>
        <w:rPr>
          <w:rFonts w:hint="eastAsia" w:ascii="宋体" w:hAnsi="宋体" w:eastAsia="宋体" w:cs="宋体"/>
          <w:color w:val="auto"/>
          <w:sz w:val="21"/>
          <w:szCs w:val="21"/>
          <w:highlight w:val="none"/>
          <w:lang w:val="en-US" w:eastAsia="zh-CN" w:bidi="ar-SA"/>
        </w:rPr>
        <w:t>中国境内注册且具有行业行政主管</w:t>
      </w:r>
      <w:r>
        <w:rPr>
          <w:rFonts w:hint="eastAsia" w:ascii="宋体" w:hAnsi="宋体" w:eastAsia="宋体" w:cs="宋体"/>
          <w:color w:val="auto"/>
          <w:sz w:val="21"/>
          <w:szCs w:val="21"/>
          <w:highlight w:val="none"/>
          <w:lang w:val="en-US" w:eastAsia="zh-CN" w:bidi="ar-SA"/>
        </w:rPr>
        <w:t>部门的资产评估机构备案证明的独立法人</w:t>
      </w:r>
      <w:r>
        <w:rPr>
          <w:rFonts w:hint="eastAsia"/>
          <w:color w:val="auto"/>
          <w:sz w:val="21"/>
          <w:szCs w:val="21"/>
          <w:highlight w:val="none"/>
          <w:lang w:val="en-US" w:eastAsia="zh-CN"/>
        </w:rPr>
        <w:t>或合伙企业。</w:t>
      </w:r>
    </w:p>
    <w:p w14:paraId="57CCBFDF">
      <w:pPr>
        <w:pStyle w:val="17"/>
        <w:adjustRightInd w:val="0"/>
        <w:snapToGrid w:val="0"/>
        <w:spacing w:line="460" w:lineRule="exact"/>
        <w:ind w:right="-51" w:rightChars="-23" w:firstLine="420" w:firstLineChars="200"/>
        <w:rPr>
          <w:rFonts w:hint="eastAsia"/>
          <w:color w:val="auto"/>
          <w:highlight w:val="none"/>
          <w:lang w:eastAsia="zh-CN"/>
        </w:rPr>
      </w:pPr>
      <w:r>
        <w:rPr>
          <w:rFonts w:hint="eastAsia"/>
          <w:color w:val="auto"/>
          <w:highlight w:val="none"/>
          <w:lang w:eastAsia="zh-CN"/>
        </w:rPr>
        <w:t>2、投标人业绩要求：</w:t>
      </w:r>
      <w:r>
        <w:rPr>
          <w:rFonts w:hint="eastAsia"/>
          <w:color w:val="auto"/>
          <w:highlight w:val="none"/>
          <w:lang w:val="en-US" w:eastAsia="zh-CN"/>
        </w:rPr>
        <w:t>无</w:t>
      </w:r>
      <w:r>
        <w:rPr>
          <w:rFonts w:hint="eastAsia"/>
          <w:color w:val="auto"/>
          <w:highlight w:val="none"/>
          <w:lang w:eastAsia="zh-CN"/>
        </w:rPr>
        <w:t>。</w:t>
      </w:r>
    </w:p>
    <w:p w14:paraId="60252BE9">
      <w:pPr>
        <w:pStyle w:val="17"/>
        <w:adjustRightInd w:val="0"/>
        <w:snapToGrid w:val="0"/>
        <w:spacing w:line="460" w:lineRule="exact"/>
        <w:ind w:right="-51" w:rightChars="-23" w:firstLine="420" w:firstLineChars="200"/>
        <w:rPr>
          <w:rFonts w:hint="eastAsia"/>
          <w:color w:val="auto"/>
          <w:highlight w:val="none"/>
          <w:lang w:eastAsia="zh-CN"/>
        </w:rPr>
      </w:pPr>
      <w:r>
        <w:rPr>
          <w:rFonts w:hint="eastAsia"/>
          <w:color w:val="auto"/>
          <w:highlight w:val="none"/>
          <w:lang w:eastAsia="zh-CN"/>
        </w:rPr>
        <w:t>3、项目负责人资格要求：</w:t>
      </w:r>
      <w:r>
        <w:rPr>
          <w:rFonts w:hint="eastAsia"/>
          <w:color w:val="auto"/>
          <w:highlight w:val="none"/>
          <w:lang w:eastAsia="zh-CN"/>
        </w:rPr>
        <w:t>项目负责人须</w:t>
      </w:r>
      <w:r>
        <w:rPr>
          <w:rFonts w:hint="eastAsia"/>
          <w:color w:val="auto"/>
          <w:highlight w:val="none"/>
          <w:lang w:val="en-US" w:eastAsia="zh-CN"/>
        </w:rPr>
        <w:t>为投标人本单位正式职工，且</w:t>
      </w:r>
      <w:r>
        <w:rPr>
          <w:rFonts w:hint="eastAsia"/>
          <w:color w:val="auto"/>
          <w:highlight w:val="none"/>
          <w:lang w:eastAsia="zh-CN"/>
        </w:rPr>
        <w:t>具有资产评估师职业资格证书</w:t>
      </w:r>
      <w:r>
        <w:rPr>
          <w:rFonts w:hint="eastAsia"/>
          <w:color w:val="auto"/>
          <w:highlight w:val="none"/>
          <w:lang w:eastAsia="zh-CN"/>
        </w:rPr>
        <w:t>。</w:t>
      </w:r>
    </w:p>
    <w:p w14:paraId="0D410D13">
      <w:pPr>
        <w:pStyle w:val="17"/>
        <w:adjustRightInd w:val="0"/>
        <w:snapToGrid w:val="0"/>
        <w:spacing w:line="460" w:lineRule="exact"/>
        <w:ind w:firstLine="420" w:firstLineChars="200"/>
        <w:jc w:val="both"/>
        <w:rPr>
          <w:rFonts w:hint="eastAsia"/>
          <w:color w:val="auto"/>
          <w:highlight w:val="none"/>
          <w:lang w:eastAsia="zh-CN"/>
        </w:rPr>
      </w:pPr>
      <w:r>
        <w:rPr>
          <w:rFonts w:hint="eastAsia"/>
          <w:color w:val="auto"/>
          <w:highlight w:val="none"/>
          <w:lang w:eastAsia="zh-CN"/>
        </w:rPr>
        <w:t>4、财务要求：投标人应具有独立订立合同的能力，未处于财产被接管、冻结和破产状态。</w:t>
      </w:r>
    </w:p>
    <w:p w14:paraId="3FF75C22">
      <w:pPr>
        <w:pStyle w:val="17"/>
        <w:adjustRightInd w:val="0"/>
        <w:snapToGrid w:val="0"/>
        <w:spacing w:line="460" w:lineRule="exact"/>
        <w:ind w:firstLine="420" w:firstLineChars="200"/>
        <w:jc w:val="both"/>
        <w:rPr>
          <w:rFonts w:hint="eastAsia"/>
          <w:color w:val="auto"/>
          <w:highlight w:val="none"/>
          <w:lang w:eastAsia="zh-CN"/>
        </w:rPr>
      </w:pPr>
      <w:r>
        <w:rPr>
          <w:rFonts w:hint="eastAsia"/>
          <w:color w:val="auto"/>
          <w:highlight w:val="none"/>
          <w:lang w:eastAsia="zh-CN"/>
        </w:rPr>
        <w:t>5、信誉要求：投标人不得存在下列情形：</w:t>
      </w:r>
    </w:p>
    <w:p w14:paraId="4FF6A711">
      <w:pPr>
        <w:spacing w:line="360" w:lineRule="auto"/>
        <w:ind w:firstLine="420" w:firstLineChars="200"/>
        <w:jc w:val="both"/>
        <w:rPr>
          <w:rFonts w:hint="eastAsia" w:cs="TimesNewRomanPSMT"/>
          <w:color w:val="auto"/>
          <w:kern w:val="2"/>
          <w:sz w:val="21"/>
          <w:szCs w:val="24"/>
          <w:highlight w:val="none"/>
          <w:lang w:eastAsia="zh-CN"/>
        </w:rPr>
      </w:pPr>
      <w:bookmarkStart w:id="15" w:name="_Toc65743879"/>
      <w:r>
        <w:rPr>
          <w:rFonts w:cs="TimesNewRomanPSMT"/>
          <w:color w:val="auto"/>
          <w:kern w:val="2"/>
          <w:sz w:val="21"/>
          <w:szCs w:val="24"/>
          <w:highlight w:val="none"/>
          <w:lang w:eastAsia="zh-CN"/>
        </w:rPr>
        <w:t>（1）被国家、江</w:t>
      </w:r>
      <w:r>
        <w:rPr>
          <w:rFonts w:hint="eastAsia" w:cs="TimesNewRomanPSMT"/>
          <w:color w:val="auto"/>
          <w:kern w:val="2"/>
          <w:sz w:val="21"/>
          <w:szCs w:val="24"/>
          <w:highlight w:val="none"/>
          <w:lang w:eastAsia="zh-CN"/>
        </w:rPr>
        <w:t>苏本省省级有关部门及盐城本市市级、盐城经济技术开发区区级有关部门暂停招投标或市场准入资格且在公示处罚期内的。</w:t>
      </w:r>
    </w:p>
    <w:p w14:paraId="536ADA8D">
      <w:pPr>
        <w:spacing w:line="360" w:lineRule="auto"/>
        <w:ind w:firstLine="420" w:firstLineChars="200"/>
        <w:jc w:val="both"/>
        <w:rPr>
          <w:rFonts w:hint="eastAsia" w:cs="TimesNewRomanPSMT"/>
          <w:color w:val="auto"/>
          <w:kern w:val="2"/>
          <w:sz w:val="21"/>
          <w:szCs w:val="24"/>
          <w:highlight w:val="none"/>
          <w:lang w:eastAsia="zh-CN"/>
        </w:rPr>
      </w:pPr>
      <w:r>
        <w:rPr>
          <w:rFonts w:cs="TimesNewRomanPSMT"/>
          <w:color w:val="auto"/>
          <w:kern w:val="2"/>
          <w:sz w:val="21"/>
          <w:szCs w:val="24"/>
          <w:highlight w:val="none"/>
          <w:lang w:eastAsia="zh-CN"/>
        </w:rPr>
        <w:t>（</w:t>
      </w:r>
      <w:r>
        <w:rPr>
          <w:rFonts w:hint="eastAsia" w:cs="TimesNewRomanPSMT"/>
          <w:color w:val="auto"/>
          <w:kern w:val="2"/>
          <w:sz w:val="21"/>
          <w:szCs w:val="24"/>
          <w:highlight w:val="none"/>
          <w:lang w:eastAsia="zh-CN"/>
        </w:rPr>
        <w:t>2</w:t>
      </w:r>
      <w:r>
        <w:rPr>
          <w:rFonts w:cs="TimesNewRomanPSMT"/>
          <w:color w:val="auto"/>
          <w:kern w:val="2"/>
          <w:sz w:val="21"/>
          <w:szCs w:val="24"/>
          <w:highlight w:val="none"/>
          <w:lang w:eastAsia="zh-CN"/>
        </w:rPr>
        <w:t>）近3年内有行</w:t>
      </w:r>
      <w:r>
        <w:rPr>
          <w:rFonts w:hint="eastAsia" w:cs="TimesNewRomanPSMT"/>
          <w:color w:val="auto"/>
          <w:kern w:val="2"/>
          <w:sz w:val="21"/>
          <w:szCs w:val="24"/>
          <w:highlight w:val="none"/>
          <w:lang w:eastAsia="zh-CN"/>
        </w:rPr>
        <w:t>贿犯罪行为且被记录，或者法定代表人</w:t>
      </w:r>
      <w:r>
        <w:rPr>
          <w:rFonts w:hint="eastAsia" w:cs="TimesNewRomanPSMT"/>
          <w:color w:val="auto"/>
          <w:kern w:val="2"/>
          <w:sz w:val="21"/>
          <w:szCs w:val="24"/>
          <w:highlight w:val="none"/>
          <w:lang w:eastAsia="zh-CN"/>
        </w:rPr>
        <w:t>（</w:t>
      </w:r>
      <w:r>
        <w:rPr>
          <w:rFonts w:hint="eastAsia"/>
          <w:color w:val="auto"/>
          <w:kern w:val="2"/>
          <w:sz w:val="21"/>
          <w:szCs w:val="21"/>
          <w:highlight w:val="none"/>
          <w:lang w:val="en-US" w:eastAsia="zh-CN"/>
        </w:rPr>
        <w:t>执行事务</w:t>
      </w:r>
      <w:r>
        <w:rPr>
          <w:rFonts w:hint="eastAsia" w:cs="TimesNewRomanPSMT"/>
          <w:color w:val="auto"/>
          <w:kern w:val="2"/>
          <w:sz w:val="21"/>
          <w:szCs w:val="24"/>
          <w:highlight w:val="none"/>
          <w:lang w:val="en-US" w:eastAsia="zh-CN"/>
        </w:rPr>
        <w:t>合伙人</w:t>
      </w:r>
      <w:r>
        <w:rPr>
          <w:rFonts w:hint="eastAsia" w:cs="TimesNewRomanPSMT"/>
          <w:color w:val="auto"/>
          <w:kern w:val="2"/>
          <w:sz w:val="21"/>
          <w:szCs w:val="24"/>
          <w:highlight w:val="none"/>
          <w:lang w:eastAsia="zh-CN"/>
        </w:rPr>
        <w:t>）</w:t>
      </w:r>
      <w:r>
        <w:rPr>
          <w:rFonts w:hint="eastAsia" w:cs="TimesNewRomanPSMT"/>
          <w:color w:val="auto"/>
          <w:kern w:val="2"/>
          <w:sz w:val="21"/>
          <w:szCs w:val="24"/>
          <w:highlight w:val="none"/>
          <w:lang w:eastAsia="zh-CN"/>
        </w:rPr>
        <w:t>、项目负责人有行贿犯罪记录且自记录之日起未超过</w:t>
      </w:r>
      <w:r>
        <w:rPr>
          <w:rFonts w:cs="TimesNewRomanPSMT"/>
          <w:color w:val="auto"/>
          <w:kern w:val="2"/>
          <w:sz w:val="21"/>
          <w:szCs w:val="24"/>
          <w:highlight w:val="none"/>
          <w:lang w:eastAsia="zh-CN"/>
        </w:rPr>
        <w:t>5年的。（均自</w:t>
      </w:r>
      <w:r>
        <w:rPr>
          <w:rFonts w:hint="eastAsia" w:cs="TimesNewRomanPSMT"/>
          <w:color w:val="auto"/>
          <w:kern w:val="2"/>
          <w:sz w:val="21"/>
          <w:szCs w:val="24"/>
          <w:highlight w:val="none"/>
          <w:lang w:eastAsia="zh-CN"/>
        </w:rPr>
        <w:t>记录之日起至投标截止日止）</w:t>
      </w:r>
    </w:p>
    <w:p w14:paraId="3D819C0A">
      <w:pPr>
        <w:spacing w:line="360" w:lineRule="auto"/>
        <w:ind w:firstLine="420" w:firstLineChars="200"/>
        <w:jc w:val="both"/>
        <w:rPr>
          <w:rFonts w:cs="TimesNewRomanPSMT"/>
          <w:color w:val="auto"/>
          <w:kern w:val="2"/>
          <w:sz w:val="21"/>
          <w:szCs w:val="24"/>
          <w:highlight w:val="none"/>
          <w:lang w:eastAsia="zh-CN"/>
        </w:rPr>
      </w:pPr>
      <w:r>
        <w:rPr>
          <w:rFonts w:cs="TimesNewRomanPSMT"/>
          <w:color w:val="auto"/>
          <w:kern w:val="2"/>
          <w:sz w:val="21"/>
          <w:szCs w:val="24"/>
          <w:highlight w:val="none"/>
          <w:lang w:eastAsia="zh-CN"/>
        </w:rPr>
        <w:t>（</w:t>
      </w:r>
      <w:r>
        <w:rPr>
          <w:rFonts w:hint="eastAsia" w:cs="TimesNewRomanPSMT"/>
          <w:color w:val="auto"/>
          <w:kern w:val="2"/>
          <w:sz w:val="21"/>
          <w:szCs w:val="24"/>
          <w:highlight w:val="none"/>
          <w:lang w:eastAsia="zh-CN"/>
        </w:rPr>
        <w:t>3</w:t>
      </w:r>
      <w:r>
        <w:rPr>
          <w:rFonts w:cs="TimesNewRomanPSMT"/>
          <w:color w:val="auto"/>
          <w:kern w:val="2"/>
          <w:sz w:val="21"/>
          <w:szCs w:val="24"/>
          <w:highlight w:val="none"/>
          <w:lang w:eastAsia="zh-CN"/>
        </w:rPr>
        <w:t>）被人民法院列</w:t>
      </w:r>
      <w:r>
        <w:rPr>
          <w:rFonts w:hint="eastAsia" w:cs="TimesNewRomanPSMT"/>
          <w:color w:val="auto"/>
          <w:kern w:val="2"/>
          <w:sz w:val="21"/>
          <w:szCs w:val="24"/>
          <w:highlight w:val="none"/>
          <w:lang w:eastAsia="zh-CN"/>
        </w:rPr>
        <w:t>为失信被执行人的信息正在被</w:t>
      </w:r>
      <w:r>
        <w:rPr>
          <w:rFonts w:cs="TimesNewRomanPSMT"/>
          <w:color w:val="auto"/>
          <w:kern w:val="2"/>
          <w:sz w:val="21"/>
          <w:szCs w:val="24"/>
          <w:highlight w:val="none"/>
          <w:lang w:eastAsia="zh-CN"/>
        </w:rPr>
        <w:t>“信用中国”、“信用江</w:t>
      </w:r>
      <w:r>
        <w:rPr>
          <w:rFonts w:hint="eastAsia" w:cs="TimesNewRomanPSMT"/>
          <w:color w:val="auto"/>
          <w:kern w:val="2"/>
          <w:sz w:val="21"/>
          <w:szCs w:val="24"/>
          <w:highlight w:val="none"/>
          <w:lang w:eastAsia="zh-CN"/>
        </w:rPr>
        <w:t>苏</w:t>
      </w:r>
      <w:r>
        <w:rPr>
          <w:rFonts w:cs="TimesNewRomanPSMT"/>
          <w:color w:val="auto"/>
          <w:kern w:val="2"/>
          <w:sz w:val="21"/>
          <w:szCs w:val="24"/>
          <w:highlight w:val="none"/>
          <w:lang w:eastAsia="zh-CN"/>
        </w:rPr>
        <w:t>”网站公布的，投</w:t>
      </w:r>
      <w:r>
        <w:rPr>
          <w:rFonts w:hint="eastAsia" w:cs="TimesNewRomanPSMT"/>
          <w:color w:val="auto"/>
          <w:kern w:val="2"/>
          <w:sz w:val="21"/>
          <w:szCs w:val="24"/>
          <w:highlight w:val="none"/>
          <w:lang w:eastAsia="zh-CN"/>
        </w:rPr>
        <w:t>标截止时间前失信被执行人信息已撤销或更正的除外。</w:t>
      </w:r>
      <w:r>
        <w:rPr>
          <w:rFonts w:cs="TimesNewRomanPSMT"/>
          <w:color w:val="auto"/>
          <w:kern w:val="2"/>
          <w:sz w:val="21"/>
          <w:szCs w:val="24"/>
          <w:highlight w:val="none"/>
          <w:lang w:eastAsia="zh-CN"/>
        </w:rPr>
        <w:t xml:space="preserve"> </w:t>
      </w:r>
    </w:p>
    <w:p w14:paraId="4E95E0FE">
      <w:pPr>
        <w:spacing w:line="360" w:lineRule="auto"/>
        <w:ind w:firstLine="420" w:firstLineChars="200"/>
        <w:jc w:val="both"/>
        <w:rPr>
          <w:rFonts w:hint="eastAsia" w:cs="TimesNewRomanPSMT"/>
          <w:color w:val="auto"/>
          <w:kern w:val="2"/>
          <w:sz w:val="21"/>
          <w:szCs w:val="24"/>
          <w:highlight w:val="none"/>
          <w:lang w:eastAsia="zh-CN"/>
        </w:rPr>
      </w:pPr>
      <w:r>
        <w:rPr>
          <w:rFonts w:hint="eastAsia" w:cs="TimesNewRomanPSMT"/>
          <w:color w:val="auto"/>
          <w:kern w:val="2"/>
          <w:sz w:val="21"/>
          <w:szCs w:val="24"/>
          <w:highlight w:val="none"/>
          <w:lang w:eastAsia="zh-CN"/>
        </w:rPr>
        <w:t>（</w:t>
      </w:r>
      <w:r>
        <w:rPr>
          <w:rFonts w:hint="eastAsia" w:cs="TimesNewRomanPSMT"/>
          <w:color w:val="auto"/>
          <w:kern w:val="2"/>
          <w:sz w:val="21"/>
          <w:szCs w:val="24"/>
          <w:highlight w:val="none"/>
          <w:lang w:val="en-US" w:eastAsia="zh-CN"/>
        </w:rPr>
        <w:t>4</w:t>
      </w:r>
      <w:r>
        <w:rPr>
          <w:rFonts w:hint="eastAsia" w:cs="TimesNewRomanPSMT"/>
          <w:color w:val="auto"/>
          <w:kern w:val="2"/>
          <w:sz w:val="21"/>
          <w:szCs w:val="24"/>
          <w:highlight w:val="none"/>
          <w:lang w:eastAsia="zh-CN"/>
        </w:rPr>
        <w:t>）投标人不得存在的其他情形见招标文件投标人须知1.4.3。</w:t>
      </w:r>
    </w:p>
    <w:p w14:paraId="1E1488E5">
      <w:pPr>
        <w:kinsoku w:val="0"/>
        <w:overflowPunct w:val="0"/>
        <w:autoSpaceDE w:val="0"/>
        <w:autoSpaceDN w:val="0"/>
        <w:adjustRightInd w:val="0"/>
        <w:snapToGrid w:val="0"/>
        <w:spacing w:line="460" w:lineRule="exact"/>
        <w:ind w:firstLine="420" w:firstLineChars="200"/>
        <w:rPr>
          <w:rFonts w:hint="eastAsia"/>
          <w:b w:val="0"/>
          <w:bCs w:val="0"/>
          <w:color w:val="auto"/>
          <w:sz w:val="21"/>
          <w:szCs w:val="21"/>
          <w:highlight w:val="none"/>
          <w:lang w:eastAsia="zh-CN"/>
        </w:rPr>
      </w:pPr>
      <w:r>
        <w:rPr>
          <w:rFonts w:hint="eastAsia"/>
          <w:b w:val="0"/>
          <w:bCs w:val="0"/>
          <w:color w:val="auto"/>
          <w:sz w:val="21"/>
          <w:szCs w:val="21"/>
          <w:highlight w:val="none"/>
          <w:lang w:eastAsia="zh-CN"/>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03DA8EFC">
      <w:pPr>
        <w:kinsoku w:val="0"/>
        <w:overflowPunct w:val="0"/>
        <w:autoSpaceDE w:val="0"/>
        <w:autoSpaceDN w:val="0"/>
        <w:adjustRightInd w:val="0"/>
        <w:snapToGrid w:val="0"/>
        <w:spacing w:line="460" w:lineRule="exact"/>
        <w:ind w:firstLine="420" w:firstLineChars="200"/>
        <w:rPr>
          <w:rFonts w:hint="eastAsia"/>
          <w:b w:val="0"/>
          <w:bCs w:val="0"/>
          <w:color w:val="auto"/>
          <w:sz w:val="21"/>
          <w:szCs w:val="21"/>
          <w:highlight w:val="none"/>
          <w:lang w:eastAsia="zh-CN"/>
        </w:rPr>
      </w:pPr>
      <w:r>
        <w:rPr>
          <w:rFonts w:hint="eastAsia"/>
          <w:b w:val="0"/>
          <w:bCs w:val="0"/>
          <w:color w:val="auto"/>
          <w:sz w:val="21"/>
          <w:szCs w:val="21"/>
          <w:highlight w:val="none"/>
          <w:lang w:eastAsia="zh-CN"/>
        </w:rPr>
        <w:t>投标人应保证符合上述信誉要求，如被证明违反，除按照招标文件处理，还将被视为不诚信行为，由相关部门按规定处理。</w:t>
      </w:r>
    </w:p>
    <w:p w14:paraId="476A3874">
      <w:pPr>
        <w:numPr>
          <w:ilvl w:val="0"/>
          <w:numId w:val="1"/>
        </w:numPr>
        <w:kinsoku w:val="0"/>
        <w:overflowPunct w:val="0"/>
        <w:autoSpaceDE w:val="0"/>
        <w:autoSpaceDN w:val="0"/>
        <w:adjustRightInd w:val="0"/>
        <w:snapToGrid w:val="0"/>
        <w:spacing w:line="460" w:lineRule="exact"/>
        <w:ind w:firstLine="422" w:firstLineChars="200"/>
        <w:rPr>
          <w:rFonts w:hint="eastAsia"/>
          <w:b/>
          <w:bCs/>
          <w:color w:val="auto"/>
          <w:sz w:val="21"/>
          <w:szCs w:val="21"/>
          <w:highlight w:val="none"/>
          <w:lang w:eastAsia="zh-CN"/>
        </w:rPr>
      </w:pPr>
      <w:r>
        <w:rPr>
          <w:rFonts w:hint="eastAsia"/>
          <w:b/>
          <w:bCs/>
          <w:color w:val="auto"/>
          <w:sz w:val="21"/>
          <w:szCs w:val="21"/>
          <w:highlight w:val="none"/>
          <w:lang w:eastAsia="zh-CN"/>
        </w:rPr>
        <w:t>投标申请人须保证代理人、项目负责人均为本单位的正式职工，并确保从</w:t>
      </w:r>
      <w:r>
        <w:rPr>
          <w:rFonts w:hint="eastAsia"/>
          <w:b/>
          <w:bCs/>
          <w:color w:val="auto"/>
          <w:sz w:val="21"/>
          <w:szCs w:val="21"/>
          <w:highlight w:val="none"/>
          <w:u w:val="single"/>
          <w:lang w:val="en-US" w:eastAsia="zh-CN"/>
        </w:rPr>
        <w:t xml:space="preserve"> </w:t>
      </w:r>
      <w:r>
        <w:rPr>
          <w:rFonts w:hint="eastAsia"/>
          <w:b/>
          <w:bCs/>
          <w:color w:val="auto"/>
          <w:sz w:val="21"/>
          <w:szCs w:val="21"/>
          <w:highlight w:val="none"/>
          <w:u w:val="single"/>
          <w:lang w:eastAsia="zh-CN"/>
        </w:rPr>
        <w:t>202</w:t>
      </w:r>
      <w:r>
        <w:rPr>
          <w:rFonts w:hint="eastAsia"/>
          <w:b/>
          <w:bCs/>
          <w:color w:val="auto"/>
          <w:sz w:val="21"/>
          <w:szCs w:val="21"/>
          <w:highlight w:val="none"/>
          <w:u w:val="single"/>
          <w:lang w:val="en-US" w:eastAsia="zh-CN"/>
        </w:rPr>
        <w:t xml:space="preserve">5 </w:t>
      </w:r>
      <w:r>
        <w:rPr>
          <w:rFonts w:hint="eastAsia"/>
          <w:b/>
          <w:bCs/>
          <w:color w:val="auto"/>
          <w:sz w:val="21"/>
          <w:szCs w:val="21"/>
          <w:highlight w:val="none"/>
          <w:lang w:eastAsia="zh-CN"/>
        </w:rPr>
        <w:t>年</w:t>
      </w:r>
      <w:r>
        <w:rPr>
          <w:rFonts w:hint="eastAsia"/>
          <w:b/>
          <w:bCs/>
          <w:color w:val="auto"/>
          <w:sz w:val="21"/>
          <w:szCs w:val="21"/>
          <w:highlight w:val="none"/>
          <w:u w:val="single"/>
          <w:lang w:val="en-US" w:eastAsia="zh-CN"/>
        </w:rPr>
        <w:t xml:space="preserve"> 2 </w:t>
      </w:r>
      <w:r>
        <w:rPr>
          <w:rFonts w:hint="eastAsia"/>
          <w:b/>
          <w:bCs/>
          <w:color w:val="auto"/>
          <w:sz w:val="21"/>
          <w:szCs w:val="21"/>
          <w:highlight w:val="none"/>
          <w:lang w:eastAsia="zh-CN"/>
        </w:rPr>
        <w:t>月</w:t>
      </w:r>
      <w:r>
        <w:rPr>
          <w:rFonts w:hint="eastAsia"/>
          <w:b/>
          <w:bCs/>
          <w:color w:val="auto"/>
          <w:sz w:val="21"/>
          <w:szCs w:val="21"/>
          <w:highlight w:val="none"/>
          <w:lang w:eastAsia="zh-CN"/>
        </w:rPr>
        <w:t>开始至投标截止之日当月至少1个月均已在本单位缴纳养老保险（退休人员有所在单位相关证明）。</w:t>
      </w:r>
    </w:p>
    <w:p w14:paraId="71C4DBFE">
      <w:pPr>
        <w:numPr>
          <w:ilvl w:val="0"/>
          <w:numId w:val="0"/>
        </w:numPr>
        <w:kinsoku w:val="0"/>
        <w:overflowPunct w:val="0"/>
        <w:autoSpaceDE w:val="0"/>
        <w:autoSpaceDN w:val="0"/>
        <w:adjustRightInd w:val="0"/>
        <w:snapToGrid w:val="0"/>
        <w:spacing w:line="460" w:lineRule="exact"/>
        <w:ind w:firstLine="420" w:firstLineChars="200"/>
        <w:rPr>
          <w:rFonts w:hint="eastAsia"/>
          <w:b w:val="0"/>
          <w:bCs w:val="0"/>
          <w:color w:val="auto"/>
          <w:sz w:val="21"/>
          <w:szCs w:val="21"/>
          <w:highlight w:val="none"/>
          <w:lang w:eastAsia="zh-CN"/>
        </w:rPr>
      </w:pPr>
      <w:r>
        <w:rPr>
          <w:rFonts w:hint="eastAsia"/>
          <w:b w:val="0"/>
          <w:bCs w:val="0"/>
          <w:color w:val="auto"/>
          <w:sz w:val="21"/>
          <w:szCs w:val="21"/>
          <w:highlight w:val="none"/>
          <w:lang w:eastAsia="zh-CN"/>
        </w:rPr>
        <w:t>注：投标时无须提供上述</w:t>
      </w:r>
      <w:r>
        <w:rPr>
          <w:rFonts w:hint="eastAsia"/>
          <w:b w:val="0"/>
          <w:bCs w:val="0"/>
          <w:color w:val="auto"/>
          <w:sz w:val="21"/>
          <w:szCs w:val="21"/>
          <w:highlight w:val="none"/>
          <w:lang w:val="en-US" w:eastAsia="zh-CN"/>
        </w:rPr>
        <w:t>4、5、6</w:t>
      </w:r>
      <w:r>
        <w:rPr>
          <w:rFonts w:hint="eastAsia"/>
          <w:b w:val="0"/>
          <w:bCs w:val="0"/>
          <w:color w:val="auto"/>
          <w:sz w:val="21"/>
          <w:szCs w:val="21"/>
          <w:highlight w:val="none"/>
          <w:lang w:eastAsia="zh-CN"/>
        </w:rPr>
        <w:t>项证明材料，如有质疑或招标人要求，再按要求提供相关证明材料。</w:t>
      </w:r>
    </w:p>
    <w:bookmarkEnd w:id="15"/>
    <w:p w14:paraId="61A93E8E">
      <w:pPr>
        <w:widowControl/>
        <w:spacing w:line="460" w:lineRule="exact"/>
        <w:ind w:firstLine="422" w:firstLineChars="200"/>
        <w:rPr>
          <w:rFonts w:hint="eastAsia"/>
          <w:b/>
          <w:bCs/>
          <w:color w:val="auto"/>
          <w:sz w:val="21"/>
          <w:szCs w:val="21"/>
          <w:highlight w:val="none"/>
          <w:lang w:eastAsia="zh-CN"/>
        </w:rPr>
      </w:pPr>
      <w:r>
        <w:rPr>
          <w:rFonts w:hint="eastAsia"/>
          <w:b/>
          <w:bCs/>
          <w:color w:val="auto"/>
          <w:sz w:val="21"/>
          <w:szCs w:val="21"/>
          <w:highlight w:val="none"/>
          <w:lang w:eastAsia="zh-CN"/>
        </w:rPr>
        <w:t>四、招标文件的获取</w:t>
      </w:r>
    </w:p>
    <w:p w14:paraId="7492713C">
      <w:pPr>
        <w:spacing w:line="360" w:lineRule="auto"/>
        <w:ind w:firstLine="420" w:firstLineChars="200"/>
        <w:jc w:val="both"/>
        <w:rPr>
          <w:rFonts w:hint="eastAsia" w:cs="微软雅黑"/>
          <w:b/>
          <w:color w:val="auto"/>
          <w:kern w:val="2"/>
          <w:sz w:val="21"/>
          <w:szCs w:val="21"/>
          <w:highlight w:val="none"/>
          <w:lang w:eastAsia="zh-CN"/>
        </w:rPr>
      </w:pPr>
      <w:r>
        <w:rPr>
          <w:rFonts w:cs="微软雅黑"/>
          <w:color w:val="auto"/>
          <w:kern w:val="2"/>
          <w:sz w:val="21"/>
          <w:szCs w:val="21"/>
          <w:highlight w:val="none"/>
          <w:lang w:eastAsia="zh-CN"/>
        </w:rPr>
        <w:t>1、</w:t>
      </w:r>
      <w:r>
        <w:rPr>
          <w:rFonts w:hint="eastAsia" w:cs="微软雅黑"/>
          <w:color w:val="auto"/>
          <w:kern w:val="2"/>
          <w:sz w:val="21"/>
          <w:szCs w:val="21"/>
          <w:highlight w:val="none"/>
          <w:lang w:eastAsia="zh-CN"/>
        </w:rPr>
        <w:t>招标文件</w:t>
      </w:r>
      <w:r>
        <w:rPr>
          <w:rFonts w:cs="微软雅黑"/>
          <w:color w:val="auto"/>
          <w:kern w:val="2"/>
          <w:sz w:val="21"/>
          <w:szCs w:val="21"/>
          <w:highlight w:val="none"/>
          <w:lang w:eastAsia="zh-CN"/>
        </w:rPr>
        <w:t>等</w:t>
      </w:r>
      <w:r>
        <w:rPr>
          <w:rFonts w:hint="eastAsia" w:cs="微软雅黑"/>
          <w:color w:val="auto"/>
          <w:kern w:val="2"/>
          <w:sz w:val="21"/>
          <w:szCs w:val="21"/>
          <w:highlight w:val="none"/>
          <w:lang w:eastAsia="zh-CN"/>
        </w:rPr>
        <w:t>，招标公告附件下载处自行下载</w:t>
      </w:r>
      <w:r>
        <w:rPr>
          <w:rFonts w:cs="微软雅黑"/>
          <w:color w:val="auto"/>
          <w:kern w:val="2"/>
          <w:sz w:val="21"/>
          <w:szCs w:val="21"/>
          <w:highlight w:val="none"/>
          <w:lang w:eastAsia="zh-CN"/>
        </w:rPr>
        <w:t>。</w:t>
      </w:r>
    </w:p>
    <w:p w14:paraId="6D1DE689">
      <w:pPr>
        <w:spacing w:line="360" w:lineRule="auto"/>
        <w:ind w:firstLine="420" w:firstLineChars="200"/>
        <w:jc w:val="both"/>
        <w:rPr>
          <w:rFonts w:hint="eastAsia" w:cs="微软雅黑"/>
          <w:color w:val="auto"/>
          <w:kern w:val="2"/>
          <w:sz w:val="21"/>
          <w:szCs w:val="21"/>
          <w:highlight w:val="none"/>
          <w:lang w:eastAsia="zh-CN"/>
        </w:rPr>
      </w:pPr>
      <w:r>
        <w:rPr>
          <w:rFonts w:hint="eastAsia" w:cs="微软雅黑"/>
          <w:color w:val="auto"/>
          <w:kern w:val="2"/>
          <w:sz w:val="21"/>
          <w:szCs w:val="21"/>
          <w:highlight w:val="none"/>
          <w:lang w:eastAsia="zh-CN"/>
        </w:rPr>
        <w:t>2</w:t>
      </w:r>
      <w:r>
        <w:rPr>
          <w:rFonts w:cs="微软雅黑"/>
          <w:color w:val="auto"/>
          <w:kern w:val="2"/>
          <w:sz w:val="21"/>
          <w:szCs w:val="21"/>
          <w:highlight w:val="none"/>
          <w:lang w:eastAsia="zh-CN"/>
        </w:rPr>
        <w:t>、</w:t>
      </w:r>
      <w:r>
        <w:rPr>
          <w:rFonts w:cs="微软雅黑"/>
          <w:color w:val="auto"/>
          <w:kern w:val="2"/>
          <w:sz w:val="21"/>
          <w:szCs w:val="24"/>
          <w:highlight w:val="none"/>
          <w:lang w:eastAsia="zh-CN"/>
        </w:rPr>
        <w:t>本招标文件工本费为人民币壹佰元整(￥:100 元)</w:t>
      </w:r>
      <w:r>
        <w:rPr>
          <w:rFonts w:cs="微软雅黑"/>
          <w:color w:val="auto"/>
          <w:kern w:val="2"/>
          <w:sz w:val="21"/>
          <w:szCs w:val="21"/>
          <w:highlight w:val="none"/>
          <w:lang w:eastAsia="zh-CN"/>
        </w:rPr>
        <w:t>。</w:t>
      </w:r>
    </w:p>
    <w:p w14:paraId="596B66C0">
      <w:pPr>
        <w:spacing w:line="360" w:lineRule="auto"/>
        <w:ind w:firstLine="422" w:firstLineChars="200"/>
        <w:jc w:val="both"/>
        <w:rPr>
          <w:rFonts w:hint="eastAsia" w:cs="微软雅黑"/>
          <w:b/>
          <w:color w:val="auto"/>
          <w:kern w:val="2"/>
          <w:sz w:val="21"/>
          <w:szCs w:val="21"/>
          <w:highlight w:val="none"/>
          <w:lang w:eastAsia="zh-CN"/>
        </w:rPr>
      </w:pPr>
      <w:r>
        <w:rPr>
          <w:rFonts w:hint="eastAsia" w:cs="微软雅黑"/>
          <w:b/>
          <w:color w:val="auto"/>
          <w:kern w:val="2"/>
          <w:sz w:val="21"/>
          <w:szCs w:val="21"/>
          <w:highlight w:val="none"/>
          <w:lang w:eastAsia="zh-CN"/>
        </w:rPr>
        <w:t>3、本项目招标期间，投标人须自行登录盐城东方集团网（http://www.ycdfjt.com/），查询本项目的招标答疑、澄清修改文件、最高投标限价及补充公告、中标结果等，以上内容均在网上发布，不再另行通知，投标人如未及时查看，责任自负。</w:t>
      </w:r>
    </w:p>
    <w:p w14:paraId="591C1A40">
      <w:pPr>
        <w:spacing w:line="360" w:lineRule="auto"/>
        <w:ind w:firstLine="422" w:firstLineChars="200"/>
        <w:rPr>
          <w:rFonts w:hint="eastAsia" w:cs="Times New Roman"/>
          <w:b/>
          <w:bCs/>
          <w:color w:val="auto"/>
          <w:sz w:val="21"/>
          <w:szCs w:val="21"/>
          <w:highlight w:val="none"/>
          <w:lang w:eastAsia="zh-CN"/>
        </w:rPr>
      </w:pPr>
      <w:r>
        <w:rPr>
          <w:rFonts w:hint="eastAsia"/>
          <w:b/>
          <w:bCs/>
          <w:color w:val="auto"/>
          <w:sz w:val="21"/>
          <w:szCs w:val="21"/>
          <w:highlight w:val="none"/>
          <w:lang w:eastAsia="zh-CN"/>
        </w:rPr>
        <w:t>五、</w:t>
      </w:r>
      <w:r>
        <w:rPr>
          <w:rFonts w:hint="eastAsia" w:cs="Times New Roman"/>
          <w:b/>
          <w:bCs/>
          <w:color w:val="auto"/>
          <w:sz w:val="21"/>
          <w:szCs w:val="21"/>
          <w:highlight w:val="none"/>
          <w:lang w:eastAsia="zh-CN"/>
        </w:rPr>
        <w:t>投标文件递交截止时间和开标时间</w:t>
      </w:r>
    </w:p>
    <w:p w14:paraId="68651F81">
      <w:pPr>
        <w:widowControl/>
        <w:shd w:val="clear" w:color="auto" w:fill="FFFFFF"/>
        <w:spacing w:line="360" w:lineRule="auto"/>
        <w:ind w:firstLine="420" w:firstLineChars="200"/>
        <w:jc w:val="both"/>
        <w:rPr>
          <w:rFonts w:hint="eastAsia" w:cs="微软雅黑"/>
          <w:color w:val="auto"/>
          <w:sz w:val="21"/>
          <w:szCs w:val="21"/>
          <w:highlight w:val="none"/>
          <w:lang w:eastAsia="zh-CN"/>
        </w:rPr>
      </w:pPr>
      <w:r>
        <w:rPr>
          <w:rFonts w:cs="微软雅黑"/>
          <w:color w:val="auto"/>
          <w:sz w:val="21"/>
          <w:szCs w:val="21"/>
          <w:highlight w:val="none"/>
          <w:shd w:val="clear" w:color="auto" w:fill="FFFFFF"/>
          <w:lang w:eastAsia="zh-CN" w:bidi="ar"/>
        </w:rPr>
        <w:t>1</w:t>
      </w:r>
      <w:r>
        <w:rPr>
          <w:rFonts w:hint="eastAsia" w:cs="微软雅黑"/>
          <w:color w:val="auto"/>
          <w:sz w:val="21"/>
          <w:szCs w:val="21"/>
          <w:highlight w:val="none"/>
          <w:shd w:val="clear" w:color="auto" w:fill="FFFFFF"/>
          <w:lang w:eastAsia="zh-CN" w:bidi="ar"/>
        </w:rPr>
        <w:t>、投标文件递交截止时间（投标截止时间）：</w:t>
      </w:r>
      <w:r>
        <w:rPr>
          <w:rFonts w:hint="eastAsia" w:cs="微软雅黑"/>
          <w:b/>
          <w:bCs/>
          <w:color w:val="auto"/>
          <w:sz w:val="21"/>
          <w:szCs w:val="21"/>
          <w:highlight w:val="none"/>
          <w:u w:val="single"/>
          <w:shd w:val="clear" w:color="auto" w:fill="FFFFFF"/>
          <w:lang w:eastAsia="zh-CN" w:bidi="ar"/>
        </w:rPr>
        <w:t>2025</w:t>
      </w:r>
      <w:r>
        <w:rPr>
          <w:rFonts w:hint="eastAsia" w:cs="微软雅黑"/>
          <w:b/>
          <w:bCs/>
          <w:color w:val="auto"/>
          <w:sz w:val="21"/>
          <w:szCs w:val="21"/>
          <w:highlight w:val="none"/>
          <w:shd w:val="clear" w:color="auto" w:fill="FFFFFF"/>
          <w:lang w:eastAsia="zh-CN" w:bidi="ar"/>
        </w:rPr>
        <w:t>年</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 xml:space="preserve">5 </w:t>
      </w:r>
      <w:r>
        <w:rPr>
          <w:rFonts w:hint="eastAsia" w:cs="微软雅黑"/>
          <w:b/>
          <w:bCs/>
          <w:color w:val="auto"/>
          <w:sz w:val="21"/>
          <w:szCs w:val="21"/>
          <w:highlight w:val="none"/>
          <w:shd w:val="clear" w:color="auto" w:fill="FFFFFF"/>
          <w:lang w:eastAsia="zh-CN" w:bidi="ar"/>
        </w:rPr>
        <w:t>月</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 xml:space="preserve">27 </w:t>
      </w:r>
      <w:r>
        <w:rPr>
          <w:rFonts w:hint="eastAsia" w:cs="微软雅黑"/>
          <w:b/>
          <w:bCs/>
          <w:color w:val="auto"/>
          <w:sz w:val="21"/>
          <w:szCs w:val="21"/>
          <w:highlight w:val="none"/>
          <w:shd w:val="clear" w:color="auto" w:fill="FFFFFF"/>
          <w:lang w:eastAsia="zh-CN" w:bidi="ar"/>
        </w:rPr>
        <w:t>日</w:t>
      </w:r>
      <w:r>
        <w:rPr>
          <w:rFonts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9</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shd w:val="clear" w:color="auto" w:fill="FFFFFF"/>
          <w:lang w:eastAsia="zh-CN" w:bidi="ar"/>
        </w:rPr>
        <w:t>时</w:t>
      </w:r>
      <w:r>
        <w:rPr>
          <w:rFonts w:hint="eastAsia" w:cs="微软雅黑"/>
          <w:b/>
          <w:bCs/>
          <w:color w:val="auto"/>
          <w:sz w:val="21"/>
          <w:szCs w:val="21"/>
          <w:highlight w:val="none"/>
          <w:u w:val="single"/>
          <w:shd w:val="clear" w:color="auto" w:fill="FFFFFF"/>
          <w:lang w:eastAsia="zh-CN" w:bidi="ar"/>
        </w:rPr>
        <w:t xml:space="preserve"> 00</w:t>
      </w:r>
      <w:r>
        <w:rPr>
          <w:rFonts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shd w:val="clear" w:color="auto" w:fill="FFFFFF"/>
          <w:lang w:eastAsia="zh-CN" w:bidi="ar"/>
        </w:rPr>
        <w:t>分</w:t>
      </w:r>
      <w:r>
        <w:rPr>
          <w:rFonts w:hint="eastAsia" w:cs="微软雅黑"/>
          <w:color w:val="auto"/>
          <w:sz w:val="21"/>
          <w:szCs w:val="21"/>
          <w:highlight w:val="none"/>
          <w:shd w:val="clear" w:color="auto" w:fill="FFFFFF"/>
          <w:lang w:eastAsia="zh-CN" w:bidi="ar"/>
        </w:rPr>
        <w:t>。</w:t>
      </w:r>
    </w:p>
    <w:p w14:paraId="70E9CBF6">
      <w:pPr>
        <w:adjustRightInd w:val="0"/>
        <w:snapToGrid w:val="0"/>
        <w:spacing w:line="460" w:lineRule="exact"/>
        <w:ind w:firstLine="420" w:firstLineChars="200"/>
        <w:rPr>
          <w:rFonts w:hint="eastAsia"/>
          <w:color w:val="auto"/>
          <w:sz w:val="21"/>
          <w:szCs w:val="21"/>
          <w:highlight w:val="none"/>
          <w:lang w:eastAsia="zh-CN"/>
        </w:rPr>
      </w:pPr>
      <w:r>
        <w:rPr>
          <w:rFonts w:hint="eastAsia" w:cs="微软雅黑"/>
          <w:bCs/>
          <w:color w:val="auto"/>
          <w:sz w:val="21"/>
          <w:szCs w:val="21"/>
          <w:highlight w:val="none"/>
          <w:lang w:eastAsia="zh-CN"/>
        </w:rPr>
        <w:t>2</w:t>
      </w:r>
      <w:r>
        <w:rPr>
          <w:rFonts w:hint="eastAsia" w:cs="微软雅黑"/>
          <w:bCs/>
          <w:color w:val="auto"/>
          <w:sz w:val="21"/>
          <w:szCs w:val="21"/>
          <w:highlight w:val="none"/>
          <w:shd w:val="clear" w:color="auto" w:fill="FFFFFF"/>
          <w:lang w:eastAsia="zh-CN" w:bidi="ar"/>
        </w:rPr>
        <w:t>、</w:t>
      </w:r>
      <w:r>
        <w:rPr>
          <w:rFonts w:hint="eastAsia" w:cs="微软雅黑"/>
          <w:color w:val="auto"/>
          <w:sz w:val="21"/>
          <w:szCs w:val="21"/>
          <w:highlight w:val="none"/>
          <w:shd w:val="clear" w:color="auto" w:fill="FFFFFF"/>
          <w:lang w:eastAsia="zh-CN" w:bidi="ar"/>
        </w:rPr>
        <w:t>开标时间：</w:t>
      </w:r>
      <w:r>
        <w:rPr>
          <w:rFonts w:hint="eastAsia" w:cs="微软雅黑"/>
          <w:b/>
          <w:bCs/>
          <w:color w:val="auto"/>
          <w:sz w:val="21"/>
          <w:szCs w:val="21"/>
          <w:highlight w:val="none"/>
          <w:u w:val="single"/>
          <w:shd w:val="clear" w:color="auto" w:fill="FFFFFF"/>
          <w:lang w:eastAsia="zh-CN" w:bidi="ar"/>
        </w:rPr>
        <w:t>同投标截止时间</w:t>
      </w:r>
      <w:r>
        <w:rPr>
          <w:rFonts w:hint="eastAsia"/>
          <w:color w:val="auto"/>
          <w:sz w:val="21"/>
          <w:szCs w:val="21"/>
          <w:highlight w:val="none"/>
          <w:lang w:eastAsia="zh-CN"/>
        </w:rPr>
        <w:t>。</w:t>
      </w:r>
    </w:p>
    <w:p w14:paraId="544BF6B3">
      <w:pPr>
        <w:adjustRightInd w:val="0"/>
        <w:snapToGrid w:val="0"/>
        <w:spacing w:line="460" w:lineRule="exact"/>
        <w:ind w:firstLine="422" w:firstLineChars="200"/>
        <w:rPr>
          <w:rFonts w:hint="eastAsia"/>
          <w:b/>
          <w:color w:val="auto"/>
          <w:kern w:val="2"/>
          <w:sz w:val="21"/>
          <w:szCs w:val="21"/>
          <w:highlight w:val="none"/>
          <w:lang w:eastAsia="zh-CN"/>
        </w:rPr>
      </w:pPr>
      <w:r>
        <w:rPr>
          <w:rFonts w:hint="eastAsia"/>
          <w:b/>
          <w:color w:val="auto"/>
          <w:kern w:val="2"/>
          <w:sz w:val="21"/>
          <w:szCs w:val="21"/>
          <w:highlight w:val="none"/>
          <w:lang w:eastAsia="zh-CN"/>
        </w:rPr>
        <w:t>六、资格审查：</w:t>
      </w:r>
    </w:p>
    <w:p w14:paraId="5A58E855">
      <w:pPr>
        <w:adjustRightInd w:val="0"/>
        <w:snapToGrid w:val="0"/>
        <w:spacing w:line="46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本次招标采用</w:t>
      </w:r>
      <w:r>
        <w:rPr>
          <w:rFonts w:hint="eastAsia"/>
          <w:b/>
          <w:bCs/>
          <w:color w:val="auto"/>
          <w:kern w:val="2"/>
          <w:sz w:val="21"/>
          <w:szCs w:val="21"/>
          <w:highlight w:val="none"/>
          <w:u w:val="single"/>
          <w:lang w:eastAsia="zh-CN"/>
        </w:rPr>
        <w:t>资格后审</w:t>
      </w:r>
      <w:r>
        <w:rPr>
          <w:rFonts w:hint="eastAsia"/>
          <w:color w:val="auto"/>
          <w:kern w:val="2"/>
          <w:sz w:val="21"/>
          <w:szCs w:val="21"/>
          <w:highlight w:val="none"/>
          <w:lang w:eastAsia="zh-CN"/>
        </w:rPr>
        <w:t>方式进行资格审查，资格评审标准详见招标文件。</w:t>
      </w:r>
    </w:p>
    <w:p w14:paraId="6D480171">
      <w:pPr>
        <w:adjustRightInd w:val="0"/>
        <w:snapToGrid w:val="0"/>
        <w:spacing w:line="460" w:lineRule="exact"/>
        <w:ind w:firstLine="422" w:firstLineChars="200"/>
        <w:rPr>
          <w:rFonts w:hint="eastAsia"/>
          <w:color w:val="auto"/>
          <w:kern w:val="2"/>
          <w:sz w:val="21"/>
          <w:szCs w:val="21"/>
          <w:highlight w:val="none"/>
          <w:lang w:eastAsia="zh-CN"/>
        </w:rPr>
      </w:pPr>
      <w:r>
        <w:rPr>
          <w:rFonts w:hint="eastAsia"/>
          <w:b/>
          <w:color w:val="auto"/>
          <w:kern w:val="2"/>
          <w:sz w:val="21"/>
          <w:szCs w:val="21"/>
          <w:highlight w:val="none"/>
          <w:lang w:eastAsia="zh-CN"/>
        </w:rPr>
        <w:t>七、投标保证金</w:t>
      </w:r>
      <w:r>
        <w:rPr>
          <w:rFonts w:hint="eastAsia"/>
          <w:color w:val="auto"/>
          <w:kern w:val="2"/>
          <w:sz w:val="21"/>
          <w:szCs w:val="21"/>
          <w:highlight w:val="none"/>
          <w:lang w:eastAsia="zh-CN"/>
        </w:rPr>
        <w:t>：</w:t>
      </w:r>
    </w:p>
    <w:p w14:paraId="4D1D054B">
      <w:pPr>
        <w:adjustRightInd w:val="0"/>
        <w:snapToGrid w:val="0"/>
        <w:spacing w:line="46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本项目投标保证金为人民币</w:t>
      </w:r>
      <w:r>
        <w:rPr>
          <w:rFonts w:hint="eastAsia"/>
          <w:b/>
          <w:bCs/>
          <w:color w:val="auto"/>
          <w:kern w:val="2"/>
          <w:sz w:val="21"/>
          <w:szCs w:val="21"/>
          <w:highlight w:val="none"/>
          <w:u w:val="single"/>
          <w:lang w:eastAsia="zh-CN"/>
        </w:rPr>
        <w:t>2000元整</w:t>
      </w:r>
      <w:r>
        <w:rPr>
          <w:rFonts w:hint="eastAsia"/>
          <w:color w:val="auto"/>
          <w:kern w:val="2"/>
          <w:sz w:val="21"/>
          <w:szCs w:val="21"/>
          <w:highlight w:val="none"/>
          <w:lang w:eastAsia="zh-CN"/>
        </w:rPr>
        <w:t>，具体详见招标文件第二章3.4款。</w:t>
      </w:r>
    </w:p>
    <w:p w14:paraId="7EC92773">
      <w:pPr>
        <w:adjustRightInd w:val="0"/>
        <w:snapToGrid w:val="0"/>
        <w:spacing w:line="460" w:lineRule="exact"/>
        <w:ind w:firstLine="422" w:firstLineChars="200"/>
        <w:rPr>
          <w:rFonts w:hint="eastAsia"/>
          <w:color w:val="auto"/>
          <w:kern w:val="2"/>
          <w:sz w:val="21"/>
          <w:szCs w:val="21"/>
          <w:highlight w:val="none"/>
          <w:lang w:eastAsia="zh-CN"/>
        </w:rPr>
      </w:pPr>
      <w:r>
        <w:rPr>
          <w:rFonts w:hint="eastAsia"/>
          <w:b/>
          <w:color w:val="auto"/>
          <w:kern w:val="2"/>
          <w:sz w:val="21"/>
          <w:szCs w:val="21"/>
          <w:highlight w:val="none"/>
          <w:lang w:eastAsia="zh-CN"/>
        </w:rPr>
        <w:t>八、评标方法</w:t>
      </w:r>
      <w:r>
        <w:rPr>
          <w:rFonts w:hint="eastAsia"/>
          <w:color w:val="auto"/>
          <w:kern w:val="2"/>
          <w:sz w:val="21"/>
          <w:szCs w:val="21"/>
          <w:highlight w:val="none"/>
          <w:lang w:eastAsia="zh-CN"/>
        </w:rPr>
        <w:t>：本次招标</w:t>
      </w:r>
      <w:r>
        <w:rPr>
          <w:rFonts w:hint="eastAsia"/>
          <w:color w:val="auto"/>
          <w:kern w:val="2"/>
          <w:sz w:val="21"/>
          <w:szCs w:val="21"/>
          <w:highlight w:val="none"/>
          <w:lang w:val="en-US" w:eastAsia="zh-CN"/>
        </w:rPr>
        <w:t>评标办法</w:t>
      </w:r>
      <w:r>
        <w:rPr>
          <w:rFonts w:hint="eastAsia"/>
          <w:color w:val="auto"/>
          <w:kern w:val="2"/>
          <w:sz w:val="21"/>
          <w:szCs w:val="21"/>
          <w:highlight w:val="none"/>
          <w:lang w:eastAsia="zh-CN"/>
        </w:rPr>
        <w:t>采用</w:t>
      </w:r>
      <w:r>
        <w:rPr>
          <w:rFonts w:hint="eastAsia"/>
          <w:b/>
          <w:bCs/>
          <w:color w:val="auto"/>
          <w:kern w:val="2"/>
          <w:sz w:val="21"/>
          <w:szCs w:val="21"/>
          <w:highlight w:val="none"/>
          <w:u w:val="single"/>
          <w:lang w:eastAsia="zh-CN"/>
        </w:rPr>
        <w:t>合理低价法</w:t>
      </w:r>
      <w:r>
        <w:rPr>
          <w:rFonts w:hint="eastAsia"/>
          <w:color w:val="auto"/>
          <w:kern w:val="2"/>
          <w:sz w:val="21"/>
          <w:szCs w:val="21"/>
          <w:highlight w:val="none"/>
          <w:lang w:eastAsia="zh-CN"/>
        </w:rPr>
        <w:t>，具体详见招标文件。</w:t>
      </w:r>
    </w:p>
    <w:p w14:paraId="4CF45CA5">
      <w:pPr>
        <w:adjustRightInd w:val="0"/>
        <w:snapToGrid w:val="0"/>
        <w:spacing w:line="460" w:lineRule="exact"/>
        <w:ind w:firstLine="422" w:firstLineChars="200"/>
        <w:rPr>
          <w:rFonts w:hint="eastAsia"/>
          <w:b/>
          <w:color w:val="auto"/>
          <w:kern w:val="2"/>
          <w:sz w:val="21"/>
          <w:szCs w:val="21"/>
          <w:highlight w:val="none"/>
          <w:lang w:eastAsia="zh-CN"/>
        </w:rPr>
      </w:pPr>
      <w:r>
        <w:rPr>
          <w:rFonts w:hint="eastAsia"/>
          <w:b/>
          <w:color w:val="auto"/>
          <w:kern w:val="2"/>
          <w:sz w:val="21"/>
          <w:szCs w:val="21"/>
          <w:highlight w:val="none"/>
          <w:lang w:eastAsia="zh-CN"/>
        </w:rPr>
        <w:t>九、发布公告的媒介</w:t>
      </w:r>
    </w:p>
    <w:p w14:paraId="5EEE26BB">
      <w:pPr>
        <w:adjustRightInd w:val="0"/>
        <w:snapToGrid w:val="0"/>
        <w:spacing w:line="46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本次招标公告在盐城东方集团网（http://www.ycdfjt.com/）发布。</w:t>
      </w:r>
    </w:p>
    <w:p w14:paraId="2D7DFE09">
      <w:pPr>
        <w:adjustRightInd w:val="0"/>
        <w:snapToGrid w:val="0"/>
        <w:spacing w:line="460" w:lineRule="exact"/>
        <w:ind w:firstLine="422" w:firstLineChars="200"/>
        <w:rPr>
          <w:rFonts w:hint="eastAsia"/>
          <w:color w:val="auto"/>
          <w:kern w:val="2"/>
          <w:sz w:val="21"/>
          <w:szCs w:val="21"/>
          <w:highlight w:val="none"/>
          <w:lang w:eastAsia="zh-CN"/>
        </w:rPr>
      </w:pPr>
      <w:r>
        <w:rPr>
          <w:rFonts w:hint="eastAsia"/>
          <w:b/>
          <w:bCs/>
          <w:color w:val="auto"/>
          <w:kern w:val="2"/>
          <w:sz w:val="21"/>
          <w:szCs w:val="21"/>
          <w:highlight w:val="none"/>
          <w:lang w:eastAsia="zh-CN"/>
        </w:rPr>
        <w:t>十、</w:t>
      </w:r>
      <w:r>
        <w:rPr>
          <w:rFonts w:hint="eastAsia"/>
          <w:color w:val="auto"/>
          <w:kern w:val="2"/>
          <w:sz w:val="21"/>
          <w:szCs w:val="21"/>
          <w:highlight w:val="none"/>
          <w:lang w:eastAsia="zh-CN"/>
        </w:rPr>
        <w:t>本项目严禁挂靠、转包，一经核实挂靠、转包的，将被取消投标、中标资格，并按相关规定进行处罚，直至建议有关部门吊销资质证书。 </w:t>
      </w:r>
    </w:p>
    <w:p w14:paraId="769804A7">
      <w:pPr>
        <w:adjustRightInd w:val="0"/>
        <w:snapToGrid w:val="0"/>
        <w:spacing w:line="460" w:lineRule="exact"/>
        <w:ind w:firstLine="422" w:firstLineChars="200"/>
        <w:rPr>
          <w:rFonts w:hint="eastAsia"/>
          <w:b/>
          <w:bCs/>
          <w:color w:val="auto"/>
          <w:kern w:val="2"/>
          <w:sz w:val="21"/>
          <w:szCs w:val="21"/>
          <w:highlight w:val="none"/>
          <w:lang w:eastAsia="zh-CN"/>
        </w:rPr>
      </w:pPr>
      <w:r>
        <w:rPr>
          <w:rFonts w:hint="eastAsia"/>
          <w:b/>
          <w:bCs/>
          <w:color w:val="auto"/>
          <w:kern w:val="2"/>
          <w:sz w:val="21"/>
          <w:szCs w:val="21"/>
          <w:highlight w:val="none"/>
          <w:lang w:eastAsia="zh-CN"/>
        </w:rPr>
        <w:t>十一、联系方式</w:t>
      </w:r>
    </w:p>
    <w:p w14:paraId="0EF6A567">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 xml:space="preserve">招标人：盐城东方投资开集团有限公司  </w:t>
      </w:r>
    </w:p>
    <w:p w14:paraId="5945D62B">
      <w:pPr>
        <w:adjustRightInd w:val="0"/>
        <w:snapToGrid w:val="0"/>
        <w:spacing w:line="460" w:lineRule="exact"/>
        <w:ind w:firstLine="420" w:firstLineChars="200"/>
        <w:rPr>
          <w:rFonts w:hint="default"/>
          <w:color w:val="auto"/>
          <w:sz w:val="21"/>
          <w:szCs w:val="21"/>
          <w:highlight w:val="none"/>
          <w:lang w:val="en-US" w:eastAsia="zh-CN"/>
        </w:rPr>
      </w:pPr>
      <w:r>
        <w:rPr>
          <w:rFonts w:hint="eastAsia"/>
          <w:color w:val="auto"/>
          <w:sz w:val="21"/>
          <w:szCs w:val="21"/>
          <w:highlight w:val="none"/>
          <w:lang w:eastAsia="zh-CN"/>
        </w:rPr>
        <w:t>地址：盐城市希望大道南路5号国际软件园6号楼B座</w:t>
      </w:r>
      <w:r>
        <w:rPr>
          <w:rFonts w:hint="eastAsia"/>
          <w:color w:val="auto"/>
          <w:sz w:val="21"/>
          <w:szCs w:val="21"/>
          <w:highlight w:val="none"/>
          <w:lang w:val="en-US" w:eastAsia="zh-CN"/>
        </w:rPr>
        <w:t>10楼</w:t>
      </w:r>
    </w:p>
    <w:p w14:paraId="562B0A47">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 xml:space="preserve">联系人：陈先生 </w:t>
      </w:r>
    </w:p>
    <w:p w14:paraId="15D88B41">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联系电话：0515-68086956</w:t>
      </w:r>
    </w:p>
    <w:p w14:paraId="145B4FF4">
      <w:pPr>
        <w:adjustRightInd w:val="0"/>
        <w:snapToGrid w:val="0"/>
        <w:spacing w:line="460" w:lineRule="exact"/>
        <w:ind w:firstLine="525"/>
        <w:jc w:val="both"/>
        <w:rPr>
          <w:rFonts w:hint="eastAsia"/>
          <w:color w:val="auto"/>
          <w:kern w:val="2"/>
          <w:sz w:val="21"/>
          <w:szCs w:val="21"/>
          <w:highlight w:val="none"/>
          <w:lang w:eastAsia="zh-CN"/>
        </w:rPr>
      </w:pPr>
    </w:p>
    <w:p w14:paraId="1803A994">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招标代理机构：江苏天翔工程项目管理有限公司</w:t>
      </w:r>
    </w:p>
    <w:p w14:paraId="6CC08DDF">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地  址：</w:t>
      </w:r>
      <w:r>
        <w:rPr>
          <w:rFonts w:hint="eastAsia"/>
          <w:bCs/>
          <w:color w:val="auto"/>
          <w:sz w:val="21"/>
          <w:szCs w:val="21"/>
          <w:highlight w:val="none"/>
          <w:lang w:eastAsia="zh-CN"/>
        </w:rPr>
        <w:t>盐城市亭湖区长亭路3号长亭商厦1#楼南楼（东电梯）五楼</w:t>
      </w:r>
    </w:p>
    <w:p w14:paraId="26F56BE9">
      <w:pPr>
        <w:adjustRightInd w:val="0"/>
        <w:snapToGrid w:val="0"/>
        <w:spacing w:line="460" w:lineRule="exact"/>
        <w:ind w:firstLine="420" w:firstLineChars="200"/>
        <w:rPr>
          <w:rFonts w:hint="eastAsia"/>
          <w:color w:val="auto"/>
          <w:kern w:val="2"/>
          <w:sz w:val="21"/>
          <w:szCs w:val="21"/>
          <w:highlight w:val="none"/>
          <w:lang w:eastAsia="zh-CN"/>
        </w:rPr>
      </w:pPr>
      <w:r>
        <w:rPr>
          <w:rFonts w:hint="eastAsia"/>
          <w:color w:val="auto"/>
          <w:sz w:val="21"/>
          <w:szCs w:val="21"/>
          <w:highlight w:val="none"/>
          <w:lang w:eastAsia="zh-CN"/>
        </w:rPr>
        <w:t>联系人：</w:t>
      </w:r>
      <w:r>
        <w:rPr>
          <w:rFonts w:hint="eastAsia"/>
          <w:bCs/>
          <w:color w:val="auto"/>
          <w:sz w:val="21"/>
          <w:szCs w:val="21"/>
          <w:highlight w:val="none"/>
          <w:lang w:eastAsia="zh-CN"/>
        </w:rPr>
        <w:t>陈女士</w:t>
      </w:r>
    </w:p>
    <w:p w14:paraId="0DB722E3">
      <w:pPr>
        <w:adjustRightInd w:val="0"/>
        <w:snapToGrid w:val="0"/>
        <w:spacing w:line="46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联系电话：</w:t>
      </w:r>
      <w:r>
        <w:rPr>
          <w:rFonts w:hint="eastAsia"/>
          <w:bCs/>
          <w:color w:val="auto"/>
          <w:sz w:val="21"/>
          <w:szCs w:val="21"/>
          <w:highlight w:val="none"/>
          <w:lang w:eastAsia="zh-CN"/>
        </w:rPr>
        <w:t>18705105648</w:t>
      </w:r>
    </w:p>
    <w:p w14:paraId="26895F8A">
      <w:pPr>
        <w:adjustRightInd w:val="0"/>
        <w:snapToGrid w:val="0"/>
        <w:spacing w:line="460" w:lineRule="exact"/>
        <w:ind w:firstLine="640" w:firstLineChars="200"/>
        <w:rPr>
          <w:rFonts w:hint="eastAsia"/>
          <w:color w:val="auto"/>
          <w:sz w:val="21"/>
          <w:szCs w:val="21"/>
          <w:highlight w:val="none"/>
          <w:lang w:eastAsia="zh-CN"/>
        </w:rPr>
      </w:pPr>
      <w:r>
        <w:rPr>
          <w:rFonts w:hint="eastAsia"/>
          <w:color w:val="auto"/>
          <w:sz w:val="32"/>
          <w:szCs w:val="32"/>
          <w:highlight w:val="none"/>
          <w:lang w:eastAsia="zh-CN"/>
        </w:rPr>
        <w:br w:type="page"/>
      </w:r>
    </w:p>
    <w:p w14:paraId="1193FDF2">
      <w:pPr>
        <w:pStyle w:val="65"/>
        <w:spacing w:line="360" w:lineRule="auto"/>
        <w:rPr>
          <w:rFonts w:hint="eastAsia"/>
          <w:color w:val="auto"/>
          <w:sz w:val="36"/>
          <w:szCs w:val="36"/>
          <w:highlight w:val="none"/>
        </w:rPr>
      </w:pPr>
      <w:bookmarkStart w:id="16" w:name="_bookmark1"/>
      <w:bookmarkEnd w:id="16"/>
      <w:bookmarkStart w:id="17" w:name="_Toc8031845"/>
      <w:bookmarkStart w:id="18" w:name="_Toc96353834"/>
      <w:bookmarkStart w:id="19" w:name="_Toc65742940"/>
      <w:bookmarkStart w:id="20" w:name="_Toc65743839"/>
      <w:bookmarkStart w:id="21" w:name="_Toc65743882"/>
      <w:bookmarkStart w:id="22" w:name="_Toc68685052"/>
      <w:bookmarkStart w:id="23" w:name="_Toc27265"/>
      <w:r>
        <w:rPr>
          <w:rFonts w:hint="eastAsia"/>
          <w:color w:val="auto"/>
          <w:sz w:val="36"/>
          <w:szCs w:val="36"/>
          <w:highlight w:val="none"/>
        </w:rPr>
        <w:t>第二章 投标人须知</w:t>
      </w:r>
      <w:bookmarkEnd w:id="17"/>
      <w:bookmarkEnd w:id="18"/>
      <w:bookmarkEnd w:id="19"/>
      <w:bookmarkEnd w:id="20"/>
      <w:bookmarkEnd w:id="21"/>
      <w:bookmarkEnd w:id="22"/>
      <w:bookmarkEnd w:id="23"/>
    </w:p>
    <w:p w14:paraId="46A7A9CC">
      <w:pPr>
        <w:pStyle w:val="66"/>
        <w:spacing w:line="460" w:lineRule="exact"/>
        <w:ind w:left="0" w:right="0"/>
        <w:jc w:val="center"/>
        <w:rPr>
          <w:rFonts w:hint="eastAsia" w:ascii="宋体" w:hAnsi="宋体" w:eastAsia="宋体" w:cs="宋体"/>
          <w:color w:val="auto"/>
          <w:sz w:val="30"/>
          <w:szCs w:val="30"/>
          <w:highlight w:val="none"/>
          <w:lang w:eastAsia="zh-CN"/>
        </w:rPr>
      </w:pPr>
      <w:bookmarkStart w:id="24" w:name="_bookmark21"/>
      <w:bookmarkEnd w:id="24"/>
      <w:bookmarkStart w:id="25" w:name="_Toc65743883"/>
      <w:bookmarkStart w:id="26" w:name="_Toc65743884"/>
      <w:r>
        <w:rPr>
          <w:rFonts w:hint="eastAsia" w:ascii="宋体" w:hAnsi="宋体" w:eastAsia="宋体" w:cs="宋体"/>
          <w:color w:val="auto"/>
          <w:sz w:val="30"/>
          <w:szCs w:val="30"/>
          <w:highlight w:val="none"/>
          <w:lang w:eastAsia="zh-CN"/>
        </w:rPr>
        <w:t>投标人须知前附表</w:t>
      </w:r>
      <w:bookmarkEnd w:id="25"/>
    </w:p>
    <w:tbl>
      <w:tblPr>
        <w:tblStyle w:val="4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14:paraId="457E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E418B1D">
            <w:pPr>
              <w:pStyle w:val="70"/>
              <w:adjustRightInd w:val="0"/>
              <w:snapToGrid w:val="0"/>
              <w:spacing w:line="360" w:lineRule="exact"/>
              <w:jc w:val="center"/>
              <w:rPr>
                <w:rFonts w:hint="eastAsia"/>
                <w:color w:val="auto"/>
                <w:sz w:val="21"/>
                <w:szCs w:val="21"/>
                <w:highlight w:val="none"/>
                <w:lang w:eastAsia="zh-CN"/>
              </w:rPr>
            </w:pPr>
            <w:r>
              <w:rPr>
                <w:rFonts w:hint="eastAsia"/>
                <w:b/>
                <w:color w:val="auto"/>
                <w:sz w:val="21"/>
                <w:szCs w:val="21"/>
                <w:highlight w:val="none"/>
                <w:lang w:eastAsia="zh-CN"/>
              </w:rPr>
              <w:t>条款号</w:t>
            </w:r>
          </w:p>
        </w:tc>
        <w:tc>
          <w:tcPr>
            <w:tcW w:w="2488" w:type="dxa"/>
            <w:vAlign w:val="center"/>
          </w:tcPr>
          <w:p w14:paraId="332B5A6C">
            <w:pPr>
              <w:pStyle w:val="70"/>
              <w:adjustRightInd w:val="0"/>
              <w:snapToGrid w:val="0"/>
              <w:spacing w:line="360" w:lineRule="exact"/>
              <w:jc w:val="center"/>
              <w:rPr>
                <w:rFonts w:hint="eastAsia"/>
                <w:color w:val="auto"/>
                <w:sz w:val="21"/>
                <w:szCs w:val="21"/>
                <w:highlight w:val="none"/>
                <w:lang w:eastAsia="zh-CN"/>
              </w:rPr>
            </w:pPr>
            <w:r>
              <w:rPr>
                <w:rFonts w:hint="eastAsia"/>
                <w:b/>
                <w:color w:val="auto"/>
                <w:sz w:val="21"/>
                <w:szCs w:val="21"/>
                <w:highlight w:val="none"/>
                <w:lang w:eastAsia="zh-CN"/>
              </w:rPr>
              <w:t>条款名称</w:t>
            </w:r>
          </w:p>
        </w:tc>
        <w:tc>
          <w:tcPr>
            <w:tcW w:w="6430" w:type="dxa"/>
            <w:vAlign w:val="center"/>
          </w:tcPr>
          <w:p w14:paraId="7AE15694">
            <w:pPr>
              <w:pStyle w:val="70"/>
              <w:adjustRightInd w:val="0"/>
              <w:snapToGrid w:val="0"/>
              <w:spacing w:line="360" w:lineRule="exact"/>
              <w:jc w:val="center"/>
              <w:rPr>
                <w:rFonts w:hint="eastAsia"/>
                <w:color w:val="auto"/>
                <w:sz w:val="21"/>
                <w:szCs w:val="21"/>
                <w:highlight w:val="none"/>
                <w:lang w:eastAsia="zh-CN"/>
              </w:rPr>
            </w:pPr>
            <w:r>
              <w:rPr>
                <w:rFonts w:hint="eastAsia"/>
                <w:b/>
                <w:color w:val="auto"/>
                <w:sz w:val="21"/>
                <w:szCs w:val="21"/>
                <w:highlight w:val="none"/>
                <w:lang w:eastAsia="zh-CN"/>
              </w:rPr>
              <w:t>编列内容</w:t>
            </w:r>
          </w:p>
        </w:tc>
      </w:tr>
      <w:tr w14:paraId="3F42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5E70999">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1.1.2</w:t>
            </w:r>
          </w:p>
        </w:tc>
        <w:tc>
          <w:tcPr>
            <w:tcW w:w="2488" w:type="dxa"/>
            <w:vAlign w:val="center"/>
          </w:tcPr>
          <w:p w14:paraId="19913D25">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招标人</w:t>
            </w:r>
          </w:p>
        </w:tc>
        <w:tc>
          <w:tcPr>
            <w:tcW w:w="6430" w:type="dxa"/>
            <w:vAlign w:val="center"/>
          </w:tcPr>
          <w:p w14:paraId="65AF5F1D">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名称：盐城东方投资开集团有限公司</w:t>
            </w:r>
          </w:p>
          <w:p w14:paraId="537E0CD8">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地址：盐城市希望大道南路5号国际软件园6号楼B座</w:t>
            </w:r>
          </w:p>
          <w:p w14:paraId="0F051BB2">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 xml:space="preserve">联系人：陈先生 </w:t>
            </w:r>
          </w:p>
          <w:p w14:paraId="3DF14573">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联系电话：0515-68086956</w:t>
            </w:r>
          </w:p>
        </w:tc>
      </w:tr>
      <w:tr w14:paraId="6295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FEC2F48">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1.1.3</w:t>
            </w:r>
          </w:p>
        </w:tc>
        <w:tc>
          <w:tcPr>
            <w:tcW w:w="2488" w:type="dxa"/>
            <w:vAlign w:val="center"/>
          </w:tcPr>
          <w:p w14:paraId="026B05B8">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招标代理机构</w:t>
            </w:r>
          </w:p>
        </w:tc>
        <w:tc>
          <w:tcPr>
            <w:tcW w:w="6430" w:type="dxa"/>
            <w:vAlign w:val="center"/>
          </w:tcPr>
          <w:p w14:paraId="0367F938">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招标代理机构：江苏天翔工程项目管理有限公司</w:t>
            </w:r>
          </w:p>
          <w:p w14:paraId="37888CF9">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地  址：盐城市亭湖区长亭路3号长亭商厦1#楼南楼（东电梯）五楼</w:t>
            </w:r>
          </w:p>
          <w:p w14:paraId="04EB41A2">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联系人：陈女士</w:t>
            </w:r>
          </w:p>
          <w:p w14:paraId="458ABB03">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 xml:space="preserve">联系电话：18705105648                                    </w:t>
            </w:r>
          </w:p>
        </w:tc>
      </w:tr>
      <w:tr w14:paraId="69B6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BE1DC80">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1.1.4</w:t>
            </w:r>
          </w:p>
        </w:tc>
        <w:tc>
          <w:tcPr>
            <w:tcW w:w="2488" w:type="dxa"/>
            <w:vAlign w:val="center"/>
          </w:tcPr>
          <w:p w14:paraId="69F9907B">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招标项目名称</w:t>
            </w:r>
          </w:p>
        </w:tc>
        <w:tc>
          <w:tcPr>
            <w:tcW w:w="6430" w:type="dxa"/>
            <w:vAlign w:val="center"/>
          </w:tcPr>
          <w:p w14:paraId="7C931254">
            <w:pPr>
              <w:kinsoku w:val="0"/>
              <w:overflowPunct w:val="0"/>
              <w:autoSpaceDE w:val="0"/>
              <w:autoSpaceDN w:val="0"/>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盐城东方投资开发集团有限公司持有江苏星月测绘科技股份有限公司股权价值评估项目</w:t>
            </w:r>
          </w:p>
        </w:tc>
      </w:tr>
      <w:tr w14:paraId="32E2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1801104">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w:t>
            </w:r>
            <w:r>
              <w:rPr>
                <w:rFonts w:hint="eastAsia"/>
                <w:color w:val="auto"/>
                <w:sz w:val="21"/>
                <w:szCs w:val="21"/>
                <w:highlight w:val="none"/>
                <w:lang w:val="en-US" w:eastAsia="zh-CN"/>
              </w:rPr>
              <w:t>5</w:t>
            </w:r>
          </w:p>
        </w:tc>
        <w:tc>
          <w:tcPr>
            <w:tcW w:w="2488" w:type="dxa"/>
            <w:vAlign w:val="center"/>
          </w:tcPr>
          <w:p w14:paraId="58C36526">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项目规模</w:t>
            </w:r>
          </w:p>
        </w:tc>
        <w:tc>
          <w:tcPr>
            <w:tcW w:w="6430" w:type="dxa"/>
            <w:vAlign w:val="center"/>
          </w:tcPr>
          <w:p w14:paraId="5F1D5EC4">
            <w:pPr>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详见招标公告</w:t>
            </w:r>
          </w:p>
        </w:tc>
      </w:tr>
      <w:tr w14:paraId="6A9C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82FE3A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1.2.1</w:t>
            </w:r>
          </w:p>
        </w:tc>
        <w:tc>
          <w:tcPr>
            <w:tcW w:w="2488" w:type="dxa"/>
            <w:vAlign w:val="center"/>
          </w:tcPr>
          <w:p w14:paraId="422F7910">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资金来源</w:t>
            </w:r>
          </w:p>
        </w:tc>
        <w:tc>
          <w:tcPr>
            <w:tcW w:w="6430" w:type="dxa"/>
            <w:vAlign w:val="center"/>
          </w:tcPr>
          <w:p w14:paraId="505CE2E8">
            <w:pPr>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国有自筹</w:t>
            </w:r>
          </w:p>
        </w:tc>
      </w:tr>
      <w:tr w14:paraId="5342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17976AC">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1.2.2</w:t>
            </w:r>
          </w:p>
        </w:tc>
        <w:tc>
          <w:tcPr>
            <w:tcW w:w="2488" w:type="dxa"/>
            <w:vAlign w:val="center"/>
          </w:tcPr>
          <w:p w14:paraId="4463680C">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资金落实情况</w:t>
            </w:r>
          </w:p>
        </w:tc>
        <w:tc>
          <w:tcPr>
            <w:tcW w:w="6430" w:type="dxa"/>
            <w:vAlign w:val="center"/>
          </w:tcPr>
          <w:p w14:paraId="47315EE9">
            <w:pPr>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已落实</w:t>
            </w:r>
          </w:p>
        </w:tc>
      </w:tr>
      <w:tr w14:paraId="00D6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856F2DC">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1.3.1</w:t>
            </w:r>
          </w:p>
        </w:tc>
        <w:tc>
          <w:tcPr>
            <w:tcW w:w="2488" w:type="dxa"/>
            <w:vAlign w:val="center"/>
          </w:tcPr>
          <w:p w14:paraId="6F7B0961">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招标范围</w:t>
            </w:r>
          </w:p>
        </w:tc>
        <w:tc>
          <w:tcPr>
            <w:tcW w:w="6430" w:type="dxa"/>
            <w:vAlign w:val="center"/>
          </w:tcPr>
          <w:p w14:paraId="33608537">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详见招标公告</w:t>
            </w:r>
          </w:p>
        </w:tc>
      </w:tr>
      <w:tr w14:paraId="0D0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44F81D4">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1.3.2</w:t>
            </w:r>
          </w:p>
        </w:tc>
        <w:tc>
          <w:tcPr>
            <w:tcW w:w="2488" w:type="dxa"/>
            <w:vAlign w:val="center"/>
          </w:tcPr>
          <w:p w14:paraId="0841C4C7">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服务期限</w:t>
            </w:r>
          </w:p>
        </w:tc>
        <w:tc>
          <w:tcPr>
            <w:tcW w:w="6430" w:type="dxa"/>
            <w:vAlign w:val="center"/>
          </w:tcPr>
          <w:p w14:paraId="637C63A1">
            <w:pPr>
              <w:pStyle w:val="70"/>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详见招标公告</w:t>
            </w:r>
          </w:p>
        </w:tc>
      </w:tr>
      <w:tr w14:paraId="6A5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F2EBD97">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1.3.3</w:t>
            </w:r>
          </w:p>
        </w:tc>
        <w:tc>
          <w:tcPr>
            <w:tcW w:w="2488" w:type="dxa"/>
            <w:vAlign w:val="center"/>
          </w:tcPr>
          <w:p w14:paraId="26C4232B">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质量标准</w:t>
            </w:r>
          </w:p>
        </w:tc>
        <w:tc>
          <w:tcPr>
            <w:tcW w:w="6430" w:type="dxa"/>
            <w:vAlign w:val="center"/>
          </w:tcPr>
          <w:p w14:paraId="5E5C88A2">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详见招标公告</w:t>
            </w:r>
          </w:p>
        </w:tc>
      </w:tr>
      <w:tr w14:paraId="5735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C1329ED">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1.4.1</w:t>
            </w:r>
          </w:p>
        </w:tc>
        <w:tc>
          <w:tcPr>
            <w:tcW w:w="2488" w:type="dxa"/>
            <w:vAlign w:val="center"/>
          </w:tcPr>
          <w:p w14:paraId="2A41A5B7">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投标人资质条件、能力、信誉</w:t>
            </w:r>
          </w:p>
        </w:tc>
        <w:tc>
          <w:tcPr>
            <w:tcW w:w="6430" w:type="dxa"/>
            <w:vAlign w:val="center"/>
          </w:tcPr>
          <w:p w14:paraId="5D6CB177">
            <w:pPr>
              <w:pStyle w:val="17"/>
              <w:tabs>
                <w:tab w:val="left" w:pos="4500"/>
                <w:tab w:val="left" w:pos="6415"/>
              </w:tabs>
              <w:adjustRightInd w:val="0"/>
              <w:snapToGrid w:val="0"/>
              <w:spacing w:line="360" w:lineRule="exact"/>
              <w:jc w:val="both"/>
              <w:rPr>
                <w:rFonts w:hint="eastAsia"/>
                <w:color w:val="auto"/>
                <w:highlight w:val="none"/>
                <w:lang w:eastAsia="zh-CN"/>
              </w:rPr>
            </w:pPr>
            <w:r>
              <w:rPr>
                <w:rFonts w:hint="eastAsia"/>
                <w:bCs/>
                <w:color w:val="auto"/>
                <w:highlight w:val="none"/>
                <w:lang w:eastAsia="zh-CN"/>
              </w:rPr>
              <w:t>详见招标公告</w:t>
            </w:r>
          </w:p>
        </w:tc>
      </w:tr>
      <w:tr w14:paraId="4448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35709FD">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1.4.2</w:t>
            </w:r>
          </w:p>
        </w:tc>
        <w:tc>
          <w:tcPr>
            <w:tcW w:w="2488" w:type="dxa"/>
            <w:vAlign w:val="center"/>
          </w:tcPr>
          <w:p w14:paraId="58434A51">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是否接受联合体投标</w:t>
            </w:r>
          </w:p>
        </w:tc>
        <w:tc>
          <w:tcPr>
            <w:tcW w:w="6430" w:type="dxa"/>
            <w:vAlign w:val="center"/>
          </w:tcPr>
          <w:p w14:paraId="6BC64E1B">
            <w:pPr>
              <w:pStyle w:val="70"/>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不接受</w:t>
            </w:r>
          </w:p>
        </w:tc>
      </w:tr>
      <w:tr w14:paraId="1A9E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E820040">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1.9.1</w:t>
            </w:r>
          </w:p>
        </w:tc>
        <w:tc>
          <w:tcPr>
            <w:tcW w:w="2488" w:type="dxa"/>
            <w:vAlign w:val="center"/>
          </w:tcPr>
          <w:p w14:paraId="593342B8">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踏勘现场</w:t>
            </w:r>
          </w:p>
        </w:tc>
        <w:tc>
          <w:tcPr>
            <w:tcW w:w="6430" w:type="dxa"/>
            <w:vAlign w:val="center"/>
          </w:tcPr>
          <w:p w14:paraId="2D3801CE">
            <w:pPr>
              <w:pStyle w:val="42"/>
              <w:adjustRightInd w:val="0"/>
              <w:snapToGrid w:val="0"/>
              <w:spacing w:line="360" w:lineRule="exact"/>
              <w:ind w:firstLine="0" w:firstLineChars="0"/>
              <w:jc w:val="both"/>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不组织，由各投标人自行踏勘现场。</w:t>
            </w:r>
          </w:p>
        </w:tc>
      </w:tr>
      <w:tr w14:paraId="2605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8252955">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1.10.1</w:t>
            </w:r>
          </w:p>
        </w:tc>
        <w:tc>
          <w:tcPr>
            <w:tcW w:w="2488" w:type="dxa"/>
            <w:vAlign w:val="center"/>
          </w:tcPr>
          <w:p w14:paraId="2EBD8310">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投标预备会</w:t>
            </w:r>
          </w:p>
        </w:tc>
        <w:tc>
          <w:tcPr>
            <w:tcW w:w="6430" w:type="dxa"/>
            <w:vAlign w:val="center"/>
          </w:tcPr>
          <w:p w14:paraId="515C4447">
            <w:pPr>
              <w:pStyle w:val="70"/>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val="en-US" w:eastAsia="zh-CN"/>
              </w:rPr>
              <w:t>招标人不组织</w:t>
            </w:r>
          </w:p>
        </w:tc>
      </w:tr>
      <w:tr w14:paraId="581D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937153D">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1.12.3</w:t>
            </w:r>
          </w:p>
        </w:tc>
        <w:tc>
          <w:tcPr>
            <w:tcW w:w="2488" w:type="dxa"/>
            <w:vAlign w:val="center"/>
          </w:tcPr>
          <w:p w14:paraId="5ED75F15">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偏差</w:t>
            </w:r>
          </w:p>
        </w:tc>
        <w:tc>
          <w:tcPr>
            <w:tcW w:w="6430" w:type="dxa"/>
            <w:vAlign w:val="center"/>
          </w:tcPr>
          <w:p w14:paraId="4067526C">
            <w:pPr>
              <w:pStyle w:val="70"/>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不允许</w:t>
            </w:r>
          </w:p>
        </w:tc>
      </w:tr>
      <w:tr w14:paraId="2998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3EC5BDD">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2.1</w:t>
            </w:r>
          </w:p>
        </w:tc>
        <w:tc>
          <w:tcPr>
            <w:tcW w:w="2488" w:type="dxa"/>
            <w:vAlign w:val="center"/>
          </w:tcPr>
          <w:p w14:paraId="66ACE648">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招标文件组成</w:t>
            </w:r>
          </w:p>
        </w:tc>
        <w:tc>
          <w:tcPr>
            <w:tcW w:w="6430" w:type="dxa"/>
            <w:vAlign w:val="center"/>
          </w:tcPr>
          <w:p w14:paraId="697A7EEF">
            <w:pPr>
              <w:topLinePunct/>
              <w:spacing w:line="360" w:lineRule="exact"/>
              <w:jc w:val="both"/>
              <w:rPr>
                <w:rFonts w:hint="eastAsia" w:cs="MS PGothic"/>
                <w:color w:val="auto"/>
                <w:kern w:val="2"/>
                <w:sz w:val="21"/>
                <w:szCs w:val="21"/>
                <w:highlight w:val="none"/>
                <w:lang w:val="zh-CN" w:eastAsia="zh-CN"/>
              </w:rPr>
            </w:pPr>
            <w:r>
              <w:rPr>
                <w:rFonts w:hint="eastAsia" w:cs="微软雅黑"/>
                <w:color w:val="auto"/>
                <w:kern w:val="2"/>
                <w:sz w:val="21"/>
                <w:szCs w:val="21"/>
                <w:highlight w:val="none"/>
                <w:lang w:val="zh-CN" w:eastAsia="zh-CN"/>
              </w:rPr>
              <w:t>书</w:t>
            </w:r>
            <w:r>
              <w:rPr>
                <w:rFonts w:hint="eastAsia" w:cs="MS PGothic"/>
                <w:color w:val="auto"/>
                <w:kern w:val="2"/>
                <w:sz w:val="21"/>
                <w:szCs w:val="21"/>
                <w:highlight w:val="none"/>
                <w:lang w:val="zh-CN" w:eastAsia="zh-CN"/>
              </w:rPr>
              <w:t>面及</w:t>
            </w:r>
            <w:r>
              <w:rPr>
                <w:rFonts w:hint="eastAsia" w:cs="微软雅黑"/>
                <w:color w:val="auto"/>
                <w:kern w:val="2"/>
                <w:sz w:val="21"/>
                <w:szCs w:val="21"/>
                <w:highlight w:val="none"/>
                <w:lang w:val="zh-CN" w:eastAsia="zh-CN"/>
              </w:rPr>
              <w:t>电</w:t>
            </w:r>
            <w:r>
              <w:rPr>
                <w:rFonts w:cs="Times New Roman"/>
                <w:color w:val="auto"/>
                <w:kern w:val="2"/>
                <w:sz w:val="21"/>
                <w:szCs w:val="21"/>
                <w:highlight w:val="none"/>
                <w:lang w:val="zh-CN" w:eastAsia="zh-CN"/>
              </w:rPr>
              <w:t>子版。</w:t>
            </w:r>
            <w:r>
              <w:rPr>
                <w:rFonts w:hint="eastAsia" w:cs="微软雅黑"/>
                <w:color w:val="auto"/>
                <w:kern w:val="2"/>
                <w:sz w:val="21"/>
                <w:szCs w:val="21"/>
                <w:highlight w:val="none"/>
                <w:lang w:val="zh-CN" w:eastAsia="zh-CN"/>
              </w:rPr>
              <w:t>电</w:t>
            </w:r>
            <w:r>
              <w:rPr>
                <w:rFonts w:hint="eastAsia" w:cs="MS PGothic"/>
                <w:color w:val="auto"/>
                <w:kern w:val="2"/>
                <w:sz w:val="21"/>
                <w:szCs w:val="21"/>
                <w:highlight w:val="none"/>
                <w:lang w:val="zh-CN" w:eastAsia="zh-CN"/>
              </w:rPr>
              <w:t>子版公告附件</w:t>
            </w:r>
            <w:r>
              <w:rPr>
                <w:rFonts w:hint="eastAsia" w:cs="微软雅黑"/>
                <w:color w:val="auto"/>
                <w:kern w:val="2"/>
                <w:sz w:val="21"/>
                <w:szCs w:val="21"/>
                <w:highlight w:val="none"/>
                <w:lang w:val="zh-CN" w:eastAsia="zh-CN"/>
              </w:rPr>
              <w:t>处</w:t>
            </w:r>
            <w:r>
              <w:rPr>
                <w:rFonts w:hint="eastAsia" w:cs="MS PGothic"/>
                <w:color w:val="auto"/>
                <w:kern w:val="2"/>
                <w:sz w:val="21"/>
                <w:szCs w:val="21"/>
                <w:highlight w:val="none"/>
                <w:lang w:val="zh-CN" w:eastAsia="zh-CN"/>
              </w:rPr>
              <w:t>自行下</w:t>
            </w:r>
            <w:r>
              <w:rPr>
                <w:rFonts w:hint="eastAsia" w:cs="微软雅黑"/>
                <w:color w:val="auto"/>
                <w:kern w:val="2"/>
                <w:sz w:val="21"/>
                <w:szCs w:val="21"/>
                <w:highlight w:val="none"/>
                <w:lang w:val="zh-CN" w:eastAsia="zh-CN"/>
              </w:rPr>
              <w:t>载</w:t>
            </w:r>
            <w:r>
              <w:rPr>
                <w:rFonts w:hint="eastAsia" w:cs="MS PGothic"/>
                <w:color w:val="auto"/>
                <w:kern w:val="2"/>
                <w:sz w:val="21"/>
                <w:szCs w:val="21"/>
                <w:highlight w:val="none"/>
                <w:lang w:val="zh-CN" w:eastAsia="zh-CN"/>
              </w:rPr>
              <w:t>，</w:t>
            </w:r>
            <w:r>
              <w:rPr>
                <w:rFonts w:hint="eastAsia" w:cs="微软雅黑"/>
                <w:color w:val="auto"/>
                <w:kern w:val="2"/>
                <w:sz w:val="21"/>
                <w:szCs w:val="21"/>
                <w:highlight w:val="none"/>
                <w:lang w:val="zh-CN" w:eastAsia="zh-CN"/>
              </w:rPr>
              <w:t>纸质</w:t>
            </w:r>
            <w:r>
              <w:rPr>
                <w:rFonts w:hint="eastAsia" w:cs="MS PGothic"/>
                <w:color w:val="auto"/>
                <w:kern w:val="2"/>
                <w:sz w:val="21"/>
                <w:szCs w:val="21"/>
                <w:highlight w:val="none"/>
                <w:lang w:val="zh-CN" w:eastAsia="zh-CN"/>
              </w:rPr>
              <w:t>版可至招</w:t>
            </w:r>
            <w:r>
              <w:rPr>
                <w:rFonts w:hint="eastAsia" w:cs="微软雅黑"/>
                <w:color w:val="auto"/>
                <w:kern w:val="2"/>
                <w:sz w:val="21"/>
                <w:szCs w:val="21"/>
                <w:highlight w:val="none"/>
                <w:lang w:val="zh-CN" w:eastAsia="zh-CN"/>
              </w:rPr>
              <w:t>标</w:t>
            </w:r>
            <w:r>
              <w:rPr>
                <w:rFonts w:hint="eastAsia" w:cs="MS PGothic"/>
                <w:color w:val="auto"/>
                <w:kern w:val="2"/>
                <w:sz w:val="21"/>
                <w:szCs w:val="21"/>
                <w:highlight w:val="none"/>
                <w:lang w:val="zh-CN" w:eastAsia="zh-CN"/>
              </w:rPr>
              <w:t>代理机构</w:t>
            </w:r>
            <w:r>
              <w:rPr>
                <w:rFonts w:hint="eastAsia" w:cs="微软雅黑"/>
                <w:color w:val="auto"/>
                <w:kern w:val="2"/>
                <w:sz w:val="21"/>
                <w:szCs w:val="21"/>
                <w:highlight w:val="none"/>
                <w:lang w:val="zh-CN" w:eastAsia="zh-CN"/>
              </w:rPr>
              <w:t>领</w:t>
            </w:r>
            <w:r>
              <w:rPr>
                <w:rFonts w:hint="eastAsia" w:cs="MS PGothic"/>
                <w:color w:val="auto"/>
                <w:kern w:val="2"/>
                <w:sz w:val="21"/>
                <w:szCs w:val="21"/>
                <w:highlight w:val="none"/>
                <w:lang w:val="zh-CN" w:eastAsia="zh-CN"/>
              </w:rPr>
              <w:t>取。</w:t>
            </w:r>
          </w:p>
          <w:p w14:paraId="27CC32AC">
            <w:pPr>
              <w:adjustRightInd w:val="0"/>
              <w:snapToGrid w:val="0"/>
              <w:spacing w:line="360" w:lineRule="exact"/>
              <w:jc w:val="left"/>
              <w:rPr>
                <w:rFonts w:hint="eastAsia"/>
                <w:color w:val="auto"/>
                <w:sz w:val="21"/>
                <w:szCs w:val="21"/>
                <w:highlight w:val="none"/>
                <w:lang w:eastAsia="zh-CN"/>
              </w:rPr>
            </w:pPr>
            <w:r>
              <w:rPr>
                <w:rFonts w:hint="eastAsia"/>
                <w:color w:val="auto"/>
                <w:kern w:val="2"/>
                <w:sz w:val="21"/>
                <w:szCs w:val="21"/>
                <w:highlight w:val="none"/>
                <w:u w:val="single"/>
                <w:lang w:eastAsia="zh-CN"/>
              </w:rPr>
              <w:t>招标文件工本费为人民币 100 元整。缴纳方式:投标人可在递交投标文件时以现金形式向招标代理机构缴纳，也可在领取纸质版招标文件时以现金形式向招标代理机构缴纳。</w:t>
            </w:r>
          </w:p>
        </w:tc>
      </w:tr>
      <w:tr w14:paraId="4854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38AB0F6">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2.2.</w:t>
            </w:r>
            <w:r>
              <w:rPr>
                <w:rFonts w:hint="eastAsia"/>
                <w:color w:val="auto"/>
                <w:sz w:val="21"/>
                <w:szCs w:val="21"/>
                <w:highlight w:val="none"/>
                <w:lang w:val="en-US" w:eastAsia="zh-CN"/>
              </w:rPr>
              <w:t>2</w:t>
            </w:r>
          </w:p>
        </w:tc>
        <w:tc>
          <w:tcPr>
            <w:tcW w:w="2488" w:type="dxa"/>
            <w:vAlign w:val="center"/>
          </w:tcPr>
          <w:p w14:paraId="68E2B2D6">
            <w:pPr>
              <w:pStyle w:val="70"/>
              <w:adjustRightInd w:val="0"/>
              <w:snapToGrid w:val="0"/>
              <w:spacing w:line="360" w:lineRule="exact"/>
              <w:jc w:val="center"/>
              <w:rPr>
                <w:rFonts w:hint="default"/>
                <w:color w:val="auto"/>
                <w:sz w:val="21"/>
                <w:szCs w:val="21"/>
                <w:highlight w:val="none"/>
                <w:lang w:val="en-US" w:eastAsia="zh-CN"/>
              </w:rPr>
            </w:pPr>
            <w:r>
              <w:rPr>
                <w:rFonts w:hint="eastAsia"/>
                <w:color w:val="auto"/>
                <w:sz w:val="21"/>
                <w:szCs w:val="21"/>
                <w:highlight w:val="none"/>
                <w:lang w:eastAsia="zh-CN"/>
              </w:rPr>
              <w:t>投标人要求澄清招标文件</w:t>
            </w:r>
            <w:r>
              <w:rPr>
                <w:rFonts w:hint="eastAsia"/>
                <w:color w:val="auto"/>
                <w:sz w:val="21"/>
                <w:szCs w:val="21"/>
                <w:highlight w:val="none"/>
                <w:lang w:val="en-US" w:eastAsia="zh-CN"/>
              </w:rPr>
              <w:t>时间</w:t>
            </w:r>
          </w:p>
        </w:tc>
        <w:tc>
          <w:tcPr>
            <w:tcW w:w="6430" w:type="dxa"/>
            <w:vAlign w:val="center"/>
          </w:tcPr>
          <w:p w14:paraId="4DAAF869">
            <w:pPr>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详见投标人须知正文2.2</w:t>
            </w:r>
            <w:r>
              <w:rPr>
                <w:rFonts w:hint="eastAsia"/>
                <w:color w:val="auto"/>
                <w:sz w:val="21"/>
                <w:szCs w:val="21"/>
                <w:highlight w:val="none"/>
                <w:lang w:val="en-US" w:eastAsia="zh-CN"/>
              </w:rPr>
              <w:t>.2</w:t>
            </w:r>
            <w:r>
              <w:rPr>
                <w:rFonts w:hint="eastAsia"/>
                <w:color w:val="auto"/>
                <w:sz w:val="21"/>
                <w:szCs w:val="21"/>
                <w:highlight w:val="none"/>
                <w:lang w:eastAsia="zh-CN"/>
              </w:rPr>
              <w:t>条</w:t>
            </w:r>
          </w:p>
        </w:tc>
      </w:tr>
      <w:tr w14:paraId="118A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Align w:val="center"/>
          </w:tcPr>
          <w:p w14:paraId="78DB7311">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2.2.</w:t>
            </w:r>
            <w:r>
              <w:rPr>
                <w:rFonts w:hint="eastAsia"/>
                <w:color w:val="auto"/>
                <w:sz w:val="21"/>
                <w:szCs w:val="21"/>
                <w:highlight w:val="none"/>
                <w:lang w:val="en-US" w:eastAsia="zh-CN"/>
              </w:rPr>
              <w:t>4</w:t>
            </w:r>
          </w:p>
        </w:tc>
        <w:tc>
          <w:tcPr>
            <w:tcW w:w="2488" w:type="dxa"/>
            <w:vAlign w:val="center"/>
          </w:tcPr>
          <w:p w14:paraId="78AA7AC3">
            <w:pPr>
              <w:pStyle w:val="70"/>
              <w:adjustRightInd w:val="0"/>
              <w:snapToGrid w:val="0"/>
              <w:spacing w:line="360" w:lineRule="exact"/>
              <w:jc w:val="center"/>
              <w:rPr>
                <w:rFonts w:hint="default"/>
                <w:color w:val="auto"/>
                <w:sz w:val="21"/>
                <w:szCs w:val="21"/>
                <w:highlight w:val="none"/>
                <w:lang w:val="en-US" w:eastAsia="zh-CN"/>
              </w:rPr>
            </w:pPr>
            <w:r>
              <w:rPr>
                <w:rFonts w:hint="eastAsia"/>
                <w:color w:val="auto"/>
                <w:sz w:val="21"/>
                <w:szCs w:val="21"/>
                <w:highlight w:val="none"/>
                <w:lang w:eastAsia="zh-CN"/>
              </w:rPr>
              <w:t>招标人澄清、修改招标文件</w:t>
            </w:r>
            <w:r>
              <w:rPr>
                <w:rFonts w:hint="eastAsia"/>
                <w:color w:val="auto"/>
                <w:sz w:val="21"/>
                <w:szCs w:val="21"/>
                <w:highlight w:val="none"/>
                <w:lang w:val="en-US" w:eastAsia="zh-CN"/>
              </w:rPr>
              <w:t>时间</w:t>
            </w:r>
          </w:p>
        </w:tc>
        <w:tc>
          <w:tcPr>
            <w:tcW w:w="6430" w:type="dxa"/>
            <w:vAlign w:val="center"/>
          </w:tcPr>
          <w:p w14:paraId="3BCD21CD">
            <w:pPr>
              <w:spacing w:line="360" w:lineRule="exact"/>
              <w:ind w:left="840" w:hanging="840" w:hangingChars="400"/>
              <w:jc w:val="both"/>
              <w:rPr>
                <w:rFonts w:hint="eastAsia"/>
                <w:color w:val="auto"/>
                <w:sz w:val="21"/>
                <w:szCs w:val="21"/>
                <w:highlight w:val="none"/>
                <w:lang w:eastAsia="zh-CN"/>
              </w:rPr>
            </w:pPr>
            <w:r>
              <w:rPr>
                <w:rFonts w:hint="eastAsia"/>
                <w:color w:val="auto"/>
                <w:sz w:val="21"/>
                <w:szCs w:val="21"/>
                <w:highlight w:val="none"/>
                <w:lang w:eastAsia="zh-CN"/>
              </w:rPr>
              <w:t>详见投标人须知正文2.2</w:t>
            </w:r>
            <w:r>
              <w:rPr>
                <w:rFonts w:hint="eastAsia"/>
                <w:color w:val="auto"/>
                <w:sz w:val="21"/>
                <w:szCs w:val="21"/>
                <w:highlight w:val="none"/>
                <w:lang w:val="en-US" w:eastAsia="zh-CN"/>
              </w:rPr>
              <w:t>.4</w:t>
            </w:r>
            <w:r>
              <w:rPr>
                <w:rFonts w:hint="eastAsia"/>
                <w:color w:val="auto"/>
                <w:sz w:val="21"/>
                <w:szCs w:val="21"/>
                <w:highlight w:val="none"/>
                <w:lang w:eastAsia="zh-CN"/>
              </w:rPr>
              <w:t>条</w:t>
            </w:r>
          </w:p>
        </w:tc>
      </w:tr>
      <w:tr w14:paraId="081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DCB19FD">
            <w:pPr>
              <w:spacing w:line="360" w:lineRule="exact"/>
              <w:jc w:val="center"/>
              <w:rPr>
                <w:rFonts w:hint="eastAsia"/>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eastAsia="zh-CN"/>
              </w:rPr>
              <w:t>3</w:t>
            </w:r>
          </w:p>
        </w:tc>
        <w:tc>
          <w:tcPr>
            <w:tcW w:w="2488" w:type="dxa"/>
            <w:vAlign w:val="center"/>
          </w:tcPr>
          <w:p w14:paraId="590B8257">
            <w:pPr>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招标文件的异议提出时间</w:t>
            </w:r>
          </w:p>
        </w:tc>
        <w:tc>
          <w:tcPr>
            <w:tcW w:w="6430" w:type="dxa"/>
            <w:vAlign w:val="center"/>
          </w:tcPr>
          <w:p w14:paraId="0BF06CE5">
            <w:pPr>
              <w:spacing w:line="360" w:lineRule="exact"/>
              <w:jc w:val="both"/>
              <w:rPr>
                <w:rFonts w:hint="eastAsia"/>
                <w:color w:val="auto"/>
                <w:sz w:val="21"/>
                <w:szCs w:val="21"/>
                <w:highlight w:val="none"/>
                <w:lang w:eastAsia="zh-CN"/>
              </w:rPr>
            </w:pPr>
            <w:r>
              <w:rPr>
                <w:rFonts w:hint="eastAsia"/>
                <w:color w:val="auto"/>
                <w:sz w:val="21"/>
                <w:szCs w:val="21"/>
                <w:highlight w:val="none"/>
              </w:rPr>
              <w:t>同上述2.2.</w:t>
            </w:r>
            <w:r>
              <w:rPr>
                <w:rFonts w:hint="eastAsia"/>
                <w:color w:val="auto"/>
                <w:sz w:val="21"/>
                <w:szCs w:val="21"/>
                <w:highlight w:val="none"/>
                <w:lang w:val="en-US" w:eastAsia="zh-CN"/>
              </w:rPr>
              <w:t>2</w:t>
            </w:r>
            <w:r>
              <w:rPr>
                <w:rFonts w:hint="eastAsia"/>
                <w:color w:val="auto"/>
                <w:sz w:val="21"/>
                <w:szCs w:val="21"/>
                <w:highlight w:val="none"/>
              </w:rPr>
              <w:t>时间</w:t>
            </w:r>
          </w:p>
        </w:tc>
      </w:tr>
      <w:tr w14:paraId="6E64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8847675">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3.2.3</w:t>
            </w:r>
          </w:p>
        </w:tc>
        <w:tc>
          <w:tcPr>
            <w:tcW w:w="2488" w:type="dxa"/>
            <w:vAlign w:val="center"/>
          </w:tcPr>
          <w:p w14:paraId="64536764">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报价方式</w:t>
            </w:r>
          </w:p>
        </w:tc>
        <w:tc>
          <w:tcPr>
            <w:tcW w:w="6430" w:type="dxa"/>
            <w:vAlign w:val="center"/>
          </w:tcPr>
          <w:p w14:paraId="5040AAAE">
            <w:pPr>
              <w:pStyle w:val="42"/>
              <w:adjustRightInd w:val="0"/>
              <w:snapToGrid w:val="0"/>
              <w:spacing w:line="360" w:lineRule="exact"/>
              <w:ind w:firstLine="0" w:firstLineChars="0"/>
              <w:jc w:val="both"/>
              <w:rPr>
                <w:rFonts w:hint="eastAsia" w:ascii="宋体" w:eastAsia="宋体"/>
                <w:color w:val="auto"/>
                <w:sz w:val="21"/>
                <w:szCs w:val="21"/>
                <w:highlight w:val="none"/>
                <w:lang w:eastAsia="zh-CN"/>
              </w:rPr>
            </w:pPr>
            <w:r>
              <w:rPr>
                <w:rFonts w:hint="eastAsia" w:ascii="宋体" w:eastAsia="宋体"/>
                <w:color w:val="auto"/>
                <w:sz w:val="21"/>
                <w:szCs w:val="21"/>
                <w:highlight w:val="none"/>
                <w:u w:val="single"/>
                <w:lang w:eastAsia="zh-CN"/>
              </w:rPr>
              <w:t>全费用固定总价</w:t>
            </w:r>
          </w:p>
        </w:tc>
      </w:tr>
      <w:tr w14:paraId="2328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7F8574A">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3.2.4</w:t>
            </w:r>
          </w:p>
        </w:tc>
        <w:tc>
          <w:tcPr>
            <w:tcW w:w="2488" w:type="dxa"/>
            <w:vAlign w:val="center"/>
          </w:tcPr>
          <w:p w14:paraId="5E6E1911">
            <w:pPr>
              <w:pStyle w:val="70"/>
              <w:adjustRightInd w:val="0"/>
              <w:snapToGrid w:val="0"/>
              <w:spacing w:line="360" w:lineRule="exact"/>
              <w:jc w:val="center"/>
              <w:rPr>
                <w:rFonts w:hint="eastAsia"/>
                <w:b/>
                <w:bCs/>
                <w:color w:val="auto"/>
                <w:sz w:val="21"/>
                <w:szCs w:val="21"/>
                <w:highlight w:val="none"/>
                <w:lang w:eastAsia="zh-CN"/>
              </w:rPr>
            </w:pPr>
            <w:r>
              <w:rPr>
                <w:rFonts w:hint="eastAsia"/>
                <w:b/>
                <w:bCs/>
                <w:color w:val="auto"/>
                <w:sz w:val="21"/>
                <w:szCs w:val="21"/>
                <w:highlight w:val="none"/>
                <w:lang w:eastAsia="zh-CN"/>
              </w:rPr>
              <w:t>最高投标限价</w:t>
            </w:r>
          </w:p>
        </w:tc>
        <w:tc>
          <w:tcPr>
            <w:tcW w:w="6430" w:type="dxa"/>
            <w:vAlign w:val="center"/>
          </w:tcPr>
          <w:p w14:paraId="4ED20A08">
            <w:pPr>
              <w:spacing w:line="360" w:lineRule="exact"/>
              <w:jc w:val="both"/>
              <w:rPr>
                <w:rFonts w:hint="eastAsia"/>
                <w:b/>
                <w:bCs/>
                <w:color w:val="auto"/>
                <w:sz w:val="21"/>
                <w:szCs w:val="21"/>
                <w:highlight w:val="none"/>
                <w:lang w:eastAsia="zh-CN"/>
              </w:rPr>
            </w:pPr>
            <w:r>
              <w:rPr>
                <w:rFonts w:hint="eastAsia" w:cs="Times New Roman"/>
                <w:b/>
                <w:bCs/>
                <w:color w:val="auto"/>
                <w:kern w:val="2"/>
                <w:sz w:val="21"/>
                <w:szCs w:val="21"/>
                <w:highlight w:val="none"/>
                <w:lang w:eastAsia="zh-CN"/>
              </w:rPr>
              <w:t>本项目最高投标限价总价为人民币</w:t>
            </w:r>
            <w:r>
              <w:rPr>
                <w:rFonts w:hint="eastAsia" w:cs="Times New Roman"/>
                <w:b/>
                <w:bCs/>
                <w:color w:val="auto"/>
                <w:kern w:val="2"/>
                <w:sz w:val="21"/>
                <w:szCs w:val="21"/>
                <w:highlight w:val="none"/>
                <w:u w:val="single"/>
                <w:lang w:val="en-US" w:eastAsia="zh-CN"/>
              </w:rPr>
              <w:t>105000.00</w:t>
            </w:r>
            <w:r>
              <w:rPr>
                <w:rFonts w:hint="eastAsia" w:cs="Times New Roman"/>
                <w:b/>
                <w:bCs/>
                <w:color w:val="auto"/>
                <w:kern w:val="2"/>
                <w:sz w:val="21"/>
                <w:szCs w:val="21"/>
                <w:highlight w:val="none"/>
                <w:lang w:eastAsia="zh-CN"/>
              </w:rPr>
              <w:t>元</w:t>
            </w:r>
            <w:r>
              <w:rPr>
                <w:rFonts w:hint="eastAsia" w:cs="Times New Roman"/>
                <w:color w:val="auto"/>
                <w:kern w:val="2"/>
                <w:sz w:val="21"/>
                <w:szCs w:val="21"/>
                <w:highlight w:val="none"/>
                <w:lang w:eastAsia="zh-CN"/>
              </w:rPr>
              <w:t>。</w:t>
            </w:r>
            <w:r>
              <w:rPr>
                <w:rFonts w:hint="eastAsia"/>
                <w:b/>
                <w:bCs/>
                <w:color w:val="auto"/>
                <w:sz w:val="21"/>
                <w:szCs w:val="21"/>
                <w:highlight w:val="none"/>
                <w:lang w:eastAsia="zh-CN"/>
              </w:rPr>
              <w:t>各投标人应在最高投标限价以下进行投标报价，高于上述最高投标限价的投标报价，视为无效报价。</w:t>
            </w:r>
          </w:p>
        </w:tc>
      </w:tr>
      <w:tr w14:paraId="39AF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FF23CCA">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3.2.5</w:t>
            </w:r>
          </w:p>
        </w:tc>
        <w:tc>
          <w:tcPr>
            <w:tcW w:w="2488" w:type="dxa"/>
            <w:vAlign w:val="center"/>
          </w:tcPr>
          <w:p w14:paraId="17DB0BFE">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投标报价的其他要求</w:t>
            </w:r>
          </w:p>
        </w:tc>
        <w:tc>
          <w:tcPr>
            <w:tcW w:w="6430" w:type="dxa"/>
            <w:vAlign w:val="center"/>
          </w:tcPr>
          <w:p w14:paraId="44B7344E">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default"/>
                <w:color w:val="auto"/>
                <w:kern w:val="2"/>
                <w:sz w:val="21"/>
                <w:szCs w:val="21"/>
                <w:highlight w:val="none"/>
                <w:lang w:val="en-US" w:eastAsia="zh-CN"/>
              </w:rPr>
            </w:pPr>
            <w:r>
              <w:rPr>
                <w:rFonts w:hint="eastAsia"/>
                <w:color w:val="auto"/>
                <w:kern w:val="2"/>
                <w:sz w:val="21"/>
                <w:szCs w:val="21"/>
                <w:highlight w:val="none"/>
                <w:lang w:eastAsia="zh-CN"/>
              </w:rPr>
              <w:t>1、投标报价的方式：</w:t>
            </w:r>
            <w:r>
              <w:rPr>
                <w:rFonts w:hint="eastAsia"/>
                <w:b/>
                <w:bCs/>
                <w:color w:val="auto"/>
                <w:kern w:val="2"/>
                <w:sz w:val="21"/>
                <w:szCs w:val="21"/>
                <w:highlight w:val="none"/>
                <w:lang w:eastAsia="zh-CN"/>
              </w:rPr>
              <w:t>采用全费用固定总价报价方式</w:t>
            </w:r>
            <w:r>
              <w:rPr>
                <w:rFonts w:hint="eastAsia"/>
                <w:color w:val="auto"/>
                <w:kern w:val="2"/>
                <w:sz w:val="21"/>
                <w:szCs w:val="21"/>
                <w:highlight w:val="none"/>
                <w:lang w:eastAsia="zh-CN"/>
              </w:rPr>
              <w:t>。</w:t>
            </w:r>
            <w:r>
              <w:rPr>
                <w:rFonts w:hint="eastAsia" w:ascii="宋体" w:hAnsi="宋体" w:cs="宋体"/>
                <w:b/>
                <w:color w:val="auto"/>
                <w:szCs w:val="21"/>
                <w:highlight w:val="none"/>
              </w:rPr>
              <w:t>投标人应充分考虑项目的规模、性质、服务期间的市场风险和国家政策性调整风险系数以及招标人对服务内容、服务期限、服务质量等的要求，并计入投标报价</w:t>
            </w:r>
            <w:r>
              <w:rPr>
                <w:rFonts w:hint="eastAsia" w:cs="宋体"/>
                <w:b/>
                <w:color w:val="auto"/>
                <w:szCs w:val="21"/>
                <w:highlight w:val="none"/>
                <w:lang w:val="en-US" w:eastAsia="zh-CN"/>
              </w:rPr>
              <w:t>中</w:t>
            </w:r>
            <w:r>
              <w:rPr>
                <w:rFonts w:hint="eastAsia" w:ascii="宋体" w:hAnsi="宋体" w:cs="宋体"/>
                <w:b/>
                <w:color w:val="auto"/>
                <w:szCs w:val="21"/>
                <w:highlight w:val="none"/>
              </w:rPr>
              <w:t>，结算时除</w:t>
            </w:r>
            <w:r>
              <w:rPr>
                <w:rFonts w:hint="eastAsia" w:cs="宋体"/>
                <w:b/>
                <w:color w:val="auto"/>
                <w:szCs w:val="21"/>
                <w:highlight w:val="none"/>
                <w:lang w:val="en-US" w:eastAsia="zh-CN"/>
              </w:rPr>
              <w:t>招</w:t>
            </w:r>
            <w:r>
              <w:rPr>
                <w:rFonts w:hint="eastAsia" w:ascii="宋体" w:hAnsi="宋体" w:cs="宋体"/>
                <w:b/>
                <w:color w:val="auto"/>
                <w:szCs w:val="21"/>
                <w:highlight w:val="none"/>
              </w:rPr>
              <w:t>标文件及合同另有约定外，中标总价固定不变。</w:t>
            </w:r>
          </w:p>
          <w:p w14:paraId="65C555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color w:val="auto"/>
                <w:sz w:val="21"/>
                <w:szCs w:val="21"/>
                <w:highlight w:val="none"/>
                <w:lang w:eastAsia="zh-CN"/>
              </w:rPr>
            </w:pPr>
            <w:r>
              <w:rPr>
                <w:rFonts w:hint="eastAsia" w:cs="宋体"/>
                <w:color w:val="auto"/>
                <w:szCs w:val="21"/>
                <w:highlight w:val="none"/>
                <w:lang w:val="en-US" w:eastAsia="zh-CN"/>
              </w:rPr>
              <w:t>2、</w:t>
            </w:r>
            <w:r>
              <w:rPr>
                <w:rFonts w:hint="eastAsia" w:ascii="宋体" w:hAnsi="宋体" w:cs="宋体"/>
                <w:color w:val="auto"/>
                <w:szCs w:val="21"/>
                <w:highlight w:val="none"/>
              </w:rPr>
              <w:t>投</w:t>
            </w:r>
            <w:r>
              <w:rPr>
                <w:rFonts w:hint="eastAsia"/>
                <w:color w:val="auto"/>
                <w:sz w:val="21"/>
                <w:szCs w:val="21"/>
                <w:highlight w:val="none"/>
                <w:lang w:eastAsia="zh-CN"/>
              </w:rPr>
              <w:t>标报价应包括投标人为完成</w:t>
            </w:r>
            <w:r>
              <w:rPr>
                <w:rFonts w:hint="eastAsia"/>
                <w:color w:val="auto"/>
                <w:sz w:val="21"/>
                <w:szCs w:val="21"/>
                <w:highlight w:val="none"/>
                <w:lang w:val="en-US" w:eastAsia="zh-CN"/>
              </w:rPr>
              <w:t>招</w:t>
            </w:r>
            <w:r>
              <w:rPr>
                <w:rFonts w:hint="eastAsia"/>
                <w:color w:val="auto"/>
                <w:sz w:val="21"/>
                <w:szCs w:val="21"/>
                <w:highlight w:val="none"/>
                <w:lang w:eastAsia="zh-CN"/>
              </w:rPr>
              <w:t>标文件所确定的</w:t>
            </w:r>
            <w:r>
              <w:rPr>
                <w:rFonts w:hint="eastAsia"/>
                <w:color w:val="auto"/>
                <w:sz w:val="21"/>
                <w:szCs w:val="21"/>
                <w:highlight w:val="none"/>
                <w:lang w:val="en-US" w:eastAsia="zh-CN"/>
              </w:rPr>
              <w:t>招标</w:t>
            </w:r>
            <w:r>
              <w:rPr>
                <w:rFonts w:hint="eastAsia"/>
                <w:color w:val="auto"/>
                <w:sz w:val="21"/>
                <w:szCs w:val="21"/>
                <w:highlight w:val="none"/>
                <w:lang w:eastAsia="zh-CN"/>
              </w:rPr>
              <w:t>范围内的全部服务工作内容所发生的一切</w:t>
            </w:r>
            <w:r>
              <w:rPr>
                <w:rFonts w:hint="eastAsia"/>
                <w:color w:val="auto"/>
                <w:sz w:val="21"/>
                <w:szCs w:val="21"/>
                <w:highlight w:val="none"/>
                <w:lang w:eastAsia="zh-CN"/>
              </w:rPr>
              <w:t>费用。</w:t>
            </w:r>
            <w:r>
              <w:rPr>
                <w:rFonts w:hint="eastAsia"/>
                <w:color w:val="auto"/>
                <w:sz w:val="21"/>
                <w:szCs w:val="21"/>
                <w:highlight w:val="none"/>
                <w:lang w:val="en-US" w:eastAsia="zh-CN"/>
              </w:rPr>
              <w:t>即</w:t>
            </w:r>
            <w:r>
              <w:rPr>
                <w:rFonts w:hint="eastAsia"/>
                <w:color w:val="auto"/>
                <w:sz w:val="21"/>
                <w:szCs w:val="21"/>
                <w:highlight w:val="none"/>
                <w:lang w:eastAsia="zh-CN"/>
              </w:rPr>
              <w:t>为完成本项目及出具合格服务报告等服务的总费用，包括但不仅限于人工费</w:t>
            </w:r>
            <w:r>
              <w:rPr>
                <w:rFonts w:hint="eastAsia"/>
                <w:color w:val="auto"/>
                <w:sz w:val="21"/>
                <w:szCs w:val="21"/>
                <w:highlight w:val="none"/>
                <w:lang w:eastAsia="zh-CN"/>
              </w:rPr>
              <w:t>（</w:t>
            </w:r>
            <w:r>
              <w:rPr>
                <w:rFonts w:hint="eastAsia"/>
                <w:color w:val="auto"/>
                <w:sz w:val="21"/>
                <w:szCs w:val="21"/>
                <w:highlight w:val="none"/>
                <w:lang w:val="en-US" w:eastAsia="zh-CN"/>
              </w:rPr>
              <w:t>含人员交通费、食宿费</w:t>
            </w:r>
            <w:r>
              <w:rPr>
                <w:rFonts w:hint="eastAsia"/>
                <w:color w:val="auto"/>
                <w:sz w:val="21"/>
                <w:szCs w:val="21"/>
                <w:highlight w:val="none"/>
                <w:lang w:eastAsia="zh-CN"/>
              </w:rPr>
              <w:t>）</w:t>
            </w:r>
            <w:r>
              <w:rPr>
                <w:rFonts w:hint="eastAsia"/>
                <w:color w:val="auto"/>
                <w:sz w:val="21"/>
                <w:szCs w:val="21"/>
                <w:highlight w:val="none"/>
                <w:lang w:eastAsia="zh-CN"/>
              </w:rPr>
              <w:t>、材料费、仪器设备使用费、管理费、利润、税金、不可预见费（指在在执行本服务项目任务的过程中所发生的额外的其他所有费用）等所需的全部费用，</w:t>
            </w:r>
            <w:r>
              <w:rPr>
                <w:rFonts w:hint="eastAsia"/>
                <w:color w:val="auto"/>
                <w:sz w:val="21"/>
                <w:szCs w:val="21"/>
                <w:highlight w:val="none"/>
                <w:lang w:eastAsia="zh-CN"/>
              </w:rPr>
              <w:t>包含配合招标人相关工作的费用以及投标人为本项目所发生的组织相关评审或者专家技术认证的申报费、评审费、专家论证费等费用、取得相关部门的批准手续应交纳的各种费用（按照相关规定须由招标人交纳的行政审批收费除外）等。同时还应充分考虑市场风险、国家政策性调整风险系数以及承担的义务、责任、风险等一切因素所需招标人支付的各项金额总和。</w:t>
            </w:r>
          </w:p>
          <w:p w14:paraId="0EF59379">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3、投标人应充分了解本项目的总体情况以及影响投标报价的其他要素。如为完成本项目所有服务工作实际必须发生的，但投标人在确定投标报价中（无论何种原因）遗漏或减少的，被认为已充分考虑在投标报价之中。</w:t>
            </w:r>
          </w:p>
          <w:p w14:paraId="5601F336">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4、投标人自行收集、完成招标范围内所有服务成果以及服务成果修改、报批等所有服务所必须的其他技术、法规条件和相关工作，其费用被认为已包含在投标报价之中。</w:t>
            </w:r>
          </w:p>
          <w:p w14:paraId="58C4E911">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5、在项目实施过程中因招标人书面变更、上级指令等因素增加、减少、修改工作内容，中标人必须服从。</w:t>
            </w:r>
          </w:p>
          <w:p w14:paraId="7019CEE0">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6、投标人应充分考虑本项目的规模、性质、服务期间的市场风险和国家政策性调整风险系数以及招标人对服务范围、服务期限、服务质量标准等的要求，结合市场行情、自身综合实力、管理水平、充分考虑项目实施期间各类市场风险等各项因素自主确定不低于成本价进行投标报价。招标人除按合同约定的费用支付酬金外不再支付其他任何费用，投标人应综合考虑本合同约定的工作必需的成本，并计入投标报价中。</w:t>
            </w:r>
          </w:p>
          <w:p w14:paraId="29BE0073">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7、投标人应自行考虑合同期内人员社会平均工资的提高、通货膨胀等因素，一切风险及招标人要求的工作内容、范围视为已包含在投标报价中，除非在合同中另有规定，在合同实施期间即项目结算时招标人将不予调整中标时的总价。</w:t>
            </w:r>
          </w:p>
          <w:p w14:paraId="31240068">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val="en-US" w:eastAsia="zh-CN"/>
              </w:rPr>
              <w:t>8</w:t>
            </w:r>
            <w:r>
              <w:rPr>
                <w:rFonts w:hint="eastAsia"/>
                <w:color w:val="auto"/>
                <w:sz w:val="21"/>
                <w:szCs w:val="21"/>
                <w:highlight w:val="none"/>
                <w:lang w:eastAsia="zh-CN"/>
              </w:rPr>
              <w:t>、项目必须确保安全，投标人自行承担评估服务过程中的质量、任何状况下的安全责任。</w:t>
            </w:r>
          </w:p>
          <w:p w14:paraId="6BFC0B56">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val="en-US" w:eastAsia="zh-CN"/>
              </w:rPr>
              <w:t>9</w:t>
            </w:r>
            <w:r>
              <w:rPr>
                <w:rFonts w:hint="eastAsia"/>
                <w:color w:val="auto"/>
                <w:sz w:val="21"/>
                <w:szCs w:val="21"/>
                <w:highlight w:val="none"/>
                <w:lang w:eastAsia="zh-CN"/>
              </w:rPr>
              <w:t>、本项目实施过程中遇到的地方矛盾、与其他单位的矛盾协调，及由此发生的费用由中标人自行负责。</w:t>
            </w:r>
          </w:p>
          <w:p w14:paraId="657F029C">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val="en-US" w:eastAsia="zh-CN"/>
              </w:rPr>
              <w:t>10</w:t>
            </w:r>
            <w:r>
              <w:rPr>
                <w:rFonts w:hint="eastAsia"/>
                <w:color w:val="auto"/>
                <w:sz w:val="21"/>
                <w:szCs w:val="21"/>
                <w:highlight w:val="none"/>
                <w:lang w:eastAsia="zh-CN"/>
              </w:rPr>
              <w:t>、投标报价统一采用“元”作为计量单位。</w:t>
            </w:r>
          </w:p>
          <w:p w14:paraId="6CEB8BEC">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1</w:t>
            </w:r>
            <w:r>
              <w:rPr>
                <w:rFonts w:hint="eastAsia"/>
                <w:color w:val="auto"/>
                <w:sz w:val="21"/>
                <w:szCs w:val="21"/>
                <w:highlight w:val="none"/>
                <w:lang w:eastAsia="zh-CN"/>
              </w:rPr>
              <w:t>、投标报价的编制依据：</w:t>
            </w:r>
          </w:p>
          <w:p w14:paraId="36FC6D74">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1</w:t>
            </w:r>
            <w:r>
              <w:rPr>
                <w:rFonts w:hint="eastAsia"/>
                <w:color w:val="auto"/>
                <w:sz w:val="21"/>
                <w:szCs w:val="21"/>
                <w:highlight w:val="none"/>
                <w:lang w:eastAsia="zh-CN"/>
              </w:rPr>
              <w:t>.1招标人提供的招标文件、答疑文件及补充通知；</w:t>
            </w:r>
          </w:p>
          <w:p w14:paraId="41200068">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1</w:t>
            </w:r>
            <w:r>
              <w:rPr>
                <w:rFonts w:hint="eastAsia"/>
                <w:color w:val="auto"/>
                <w:sz w:val="21"/>
                <w:szCs w:val="21"/>
                <w:highlight w:val="none"/>
                <w:lang w:eastAsia="zh-CN"/>
              </w:rPr>
              <w:t>.2现行其他规范及标准；</w:t>
            </w:r>
          </w:p>
          <w:p w14:paraId="3F69D93C">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1</w:t>
            </w:r>
            <w:r>
              <w:rPr>
                <w:rFonts w:hint="eastAsia"/>
                <w:color w:val="auto"/>
                <w:sz w:val="21"/>
                <w:szCs w:val="21"/>
                <w:highlight w:val="none"/>
                <w:lang w:eastAsia="zh-CN"/>
              </w:rPr>
              <w:t>.3服务项目特点、情况；</w:t>
            </w:r>
          </w:p>
          <w:p w14:paraId="58A1925E">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1</w:t>
            </w:r>
            <w:r>
              <w:rPr>
                <w:rFonts w:hint="eastAsia"/>
                <w:color w:val="auto"/>
                <w:sz w:val="21"/>
                <w:szCs w:val="21"/>
                <w:highlight w:val="none"/>
                <w:lang w:eastAsia="zh-CN"/>
              </w:rPr>
              <w:t>.4投标人的企业定额、企业经营状况及行业市场行情。</w:t>
            </w:r>
          </w:p>
          <w:p w14:paraId="212546F0">
            <w:pPr>
              <w:adjustRightInd w:val="0"/>
              <w:snapToGrid w:val="0"/>
              <w:spacing w:line="360" w:lineRule="exact"/>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2</w:t>
            </w:r>
            <w:r>
              <w:rPr>
                <w:rFonts w:hint="eastAsia"/>
                <w:color w:val="auto"/>
                <w:sz w:val="21"/>
                <w:szCs w:val="21"/>
                <w:highlight w:val="none"/>
                <w:lang w:eastAsia="zh-CN"/>
              </w:rPr>
              <w:t>、投标人应承担其编制投标文件与递交投标文件所涉及的一切费用。不管投标结果如何，招标人对上述费用不负任何责任。</w:t>
            </w:r>
          </w:p>
        </w:tc>
      </w:tr>
      <w:tr w14:paraId="087D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8DCCE09">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3.3.1</w:t>
            </w:r>
          </w:p>
        </w:tc>
        <w:tc>
          <w:tcPr>
            <w:tcW w:w="2488" w:type="dxa"/>
            <w:vAlign w:val="center"/>
          </w:tcPr>
          <w:p w14:paraId="78906C1D">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投标有效期</w:t>
            </w:r>
          </w:p>
        </w:tc>
        <w:tc>
          <w:tcPr>
            <w:tcW w:w="6430" w:type="dxa"/>
            <w:vAlign w:val="center"/>
          </w:tcPr>
          <w:p w14:paraId="11C44300">
            <w:pPr>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90 日历天（从投标截止之日算起）。</w:t>
            </w:r>
          </w:p>
        </w:tc>
      </w:tr>
      <w:tr w14:paraId="1F4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32B99B6">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3.4.1</w:t>
            </w:r>
          </w:p>
        </w:tc>
        <w:tc>
          <w:tcPr>
            <w:tcW w:w="2488" w:type="dxa"/>
            <w:vAlign w:val="center"/>
          </w:tcPr>
          <w:p w14:paraId="432582F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投标保证金</w:t>
            </w:r>
          </w:p>
        </w:tc>
        <w:tc>
          <w:tcPr>
            <w:tcW w:w="6430" w:type="dxa"/>
            <w:vAlign w:val="center"/>
          </w:tcPr>
          <w:p w14:paraId="1AAD64AD">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见投标须知正文3.4</w:t>
            </w:r>
          </w:p>
        </w:tc>
      </w:tr>
      <w:tr w14:paraId="134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76D956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3.6.1</w:t>
            </w:r>
          </w:p>
        </w:tc>
        <w:tc>
          <w:tcPr>
            <w:tcW w:w="2488" w:type="dxa"/>
            <w:vAlign w:val="center"/>
          </w:tcPr>
          <w:p w14:paraId="7254C2E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是否允许递交备选投标方案</w:t>
            </w:r>
          </w:p>
        </w:tc>
        <w:tc>
          <w:tcPr>
            <w:tcW w:w="6430" w:type="dxa"/>
            <w:vAlign w:val="center"/>
          </w:tcPr>
          <w:p w14:paraId="600C8BA9">
            <w:pPr>
              <w:pStyle w:val="70"/>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不允许</w:t>
            </w:r>
          </w:p>
        </w:tc>
      </w:tr>
      <w:tr w14:paraId="5282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AA9DFEB">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7.7</w:t>
            </w:r>
          </w:p>
        </w:tc>
        <w:tc>
          <w:tcPr>
            <w:tcW w:w="2488" w:type="dxa"/>
            <w:vAlign w:val="center"/>
          </w:tcPr>
          <w:p w14:paraId="416EAB36">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投标文件份数及其他要求</w:t>
            </w:r>
          </w:p>
        </w:tc>
        <w:tc>
          <w:tcPr>
            <w:tcW w:w="6430" w:type="dxa"/>
            <w:vAlign w:val="center"/>
          </w:tcPr>
          <w:p w14:paraId="61ADAD6E">
            <w:pPr>
              <w:adjustRightInd w:val="0"/>
              <w:snapToGrid w:val="0"/>
              <w:spacing w:line="360" w:lineRule="exact"/>
              <w:jc w:val="both"/>
              <w:rPr>
                <w:rFonts w:hint="eastAsia"/>
                <w:b/>
                <w:bCs/>
                <w:color w:val="auto"/>
                <w:sz w:val="21"/>
                <w:szCs w:val="21"/>
                <w:highlight w:val="none"/>
                <w:lang w:eastAsia="zh-CN"/>
              </w:rPr>
            </w:pPr>
            <w:r>
              <w:rPr>
                <w:rFonts w:hint="eastAsia"/>
                <w:b/>
                <w:bCs/>
                <w:color w:val="auto"/>
                <w:sz w:val="21"/>
                <w:szCs w:val="21"/>
                <w:highlight w:val="none"/>
                <w:lang w:eastAsia="zh-CN"/>
              </w:rPr>
              <w:t>投标文件正本一</w:t>
            </w:r>
            <w:r>
              <w:rPr>
                <w:rFonts w:hint="eastAsia"/>
                <w:b/>
                <w:bCs/>
                <w:color w:val="auto"/>
                <w:sz w:val="21"/>
                <w:szCs w:val="21"/>
                <w:highlight w:val="none"/>
                <w:lang w:val="en-US" w:eastAsia="zh-CN"/>
              </w:rPr>
              <w:t>份</w:t>
            </w:r>
            <w:r>
              <w:rPr>
                <w:rFonts w:hint="eastAsia"/>
                <w:b/>
                <w:bCs/>
                <w:color w:val="auto"/>
                <w:sz w:val="21"/>
                <w:szCs w:val="21"/>
                <w:highlight w:val="none"/>
                <w:lang w:eastAsia="zh-CN"/>
              </w:rPr>
              <w:t>、副本三</w:t>
            </w:r>
            <w:r>
              <w:rPr>
                <w:rFonts w:hint="eastAsia"/>
                <w:b/>
                <w:bCs/>
                <w:color w:val="auto"/>
                <w:sz w:val="21"/>
                <w:szCs w:val="21"/>
                <w:highlight w:val="none"/>
                <w:lang w:val="en-US" w:eastAsia="zh-CN"/>
              </w:rPr>
              <w:t>份</w:t>
            </w:r>
            <w:r>
              <w:rPr>
                <w:rFonts w:hint="eastAsia"/>
                <w:b/>
                <w:bCs/>
                <w:color w:val="auto"/>
                <w:sz w:val="21"/>
                <w:szCs w:val="21"/>
                <w:highlight w:val="none"/>
                <w:lang w:eastAsia="zh-CN"/>
              </w:rPr>
              <w:t>；另外还需提供上述</w:t>
            </w:r>
            <w:r>
              <w:rPr>
                <w:rFonts w:hint="eastAsia"/>
                <w:b/>
                <w:bCs/>
                <w:color w:val="auto"/>
                <w:sz w:val="21"/>
                <w:szCs w:val="21"/>
                <w:highlight w:val="none"/>
                <w:u w:val="single"/>
                <w:lang w:eastAsia="zh-CN"/>
              </w:rPr>
              <w:t>投标文件</w:t>
            </w:r>
            <w:r>
              <w:rPr>
                <w:rFonts w:hint="eastAsia"/>
                <w:b/>
                <w:bCs/>
                <w:color w:val="auto"/>
                <w:sz w:val="21"/>
                <w:szCs w:val="21"/>
                <w:highlight w:val="none"/>
                <w:lang w:val="en-US" w:eastAsia="zh-CN"/>
              </w:rPr>
              <w:t>电子备份文件</w:t>
            </w:r>
            <w:r>
              <w:rPr>
                <w:rFonts w:hint="eastAsia"/>
                <w:b/>
                <w:bCs/>
                <w:color w:val="auto"/>
                <w:sz w:val="21"/>
                <w:szCs w:val="21"/>
                <w:highlight w:val="none"/>
                <w:lang w:eastAsia="zh-CN"/>
              </w:rPr>
              <w:t>（</w:t>
            </w:r>
            <w:r>
              <w:rPr>
                <w:rFonts w:hint="eastAsia"/>
                <w:b/>
                <w:bCs/>
                <w:color w:val="auto"/>
                <w:sz w:val="21"/>
                <w:szCs w:val="21"/>
                <w:highlight w:val="none"/>
                <w:lang w:val="en-US" w:eastAsia="zh-CN"/>
              </w:rPr>
              <w:t>正本</w:t>
            </w:r>
            <w:r>
              <w:rPr>
                <w:rFonts w:hint="eastAsia"/>
                <w:b/>
                <w:bCs/>
                <w:color w:val="auto"/>
                <w:sz w:val="21"/>
                <w:szCs w:val="21"/>
                <w:highlight w:val="none"/>
                <w:lang w:eastAsia="zh-CN"/>
              </w:rPr>
              <w:t>PDF</w:t>
            </w:r>
            <w:r>
              <w:rPr>
                <w:rFonts w:hint="eastAsia"/>
                <w:b/>
                <w:bCs/>
                <w:color w:val="auto"/>
                <w:sz w:val="21"/>
                <w:szCs w:val="21"/>
                <w:highlight w:val="none"/>
                <w:lang w:val="en-US" w:eastAsia="zh-CN"/>
              </w:rPr>
              <w:t>格式原件彩色</w:t>
            </w:r>
            <w:r>
              <w:rPr>
                <w:rFonts w:hint="eastAsia"/>
                <w:b/>
                <w:bCs/>
                <w:color w:val="auto"/>
                <w:sz w:val="21"/>
                <w:szCs w:val="21"/>
                <w:highlight w:val="none"/>
                <w:lang w:eastAsia="zh-CN"/>
              </w:rPr>
              <w:t>扫描件），载体采用U盘方式，单独封装或直接放入投标文件封袋中随投标文件一起递交。</w:t>
            </w:r>
          </w:p>
          <w:p w14:paraId="69BC6923">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投标文件的正本与副本应分别装订成册。投标文件正本和副本的封面上应清楚地标记“正本”或“副本”的字样。当副本和正本不一致时，以正本为准。</w:t>
            </w:r>
          </w:p>
        </w:tc>
      </w:tr>
      <w:tr w14:paraId="3677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B7CE8A8">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4.2.1</w:t>
            </w:r>
          </w:p>
          <w:p w14:paraId="299A20A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4.2.2</w:t>
            </w:r>
          </w:p>
        </w:tc>
        <w:tc>
          <w:tcPr>
            <w:tcW w:w="2488" w:type="dxa"/>
            <w:vAlign w:val="center"/>
          </w:tcPr>
          <w:p w14:paraId="277ED088">
            <w:pPr>
              <w:pStyle w:val="70"/>
              <w:adjustRightInd w:val="0"/>
              <w:snapToGrid w:val="0"/>
              <w:spacing w:line="360" w:lineRule="exact"/>
              <w:jc w:val="center"/>
              <w:rPr>
                <w:rFonts w:hint="eastAsia"/>
                <w:b/>
                <w:color w:val="auto"/>
                <w:sz w:val="21"/>
                <w:szCs w:val="21"/>
                <w:highlight w:val="none"/>
                <w:lang w:eastAsia="zh-CN"/>
              </w:rPr>
            </w:pPr>
            <w:r>
              <w:rPr>
                <w:rFonts w:hint="eastAsia"/>
                <w:b/>
                <w:color w:val="auto"/>
                <w:sz w:val="21"/>
                <w:szCs w:val="21"/>
                <w:highlight w:val="none"/>
                <w:lang w:eastAsia="zh-CN"/>
              </w:rPr>
              <w:t>投标文件递交截止时间（投标截止时间）和地点</w:t>
            </w:r>
          </w:p>
        </w:tc>
        <w:tc>
          <w:tcPr>
            <w:tcW w:w="6430" w:type="dxa"/>
            <w:vAlign w:val="center"/>
          </w:tcPr>
          <w:p w14:paraId="6D1DC4FA">
            <w:pPr>
              <w:adjustRightInd w:val="0"/>
              <w:snapToGrid w:val="0"/>
              <w:spacing w:line="360" w:lineRule="exact"/>
              <w:jc w:val="both"/>
              <w:rPr>
                <w:rFonts w:hint="eastAsia"/>
                <w:color w:val="auto"/>
                <w:kern w:val="2"/>
                <w:sz w:val="21"/>
                <w:szCs w:val="21"/>
                <w:highlight w:val="none"/>
                <w:lang w:eastAsia="zh-CN"/>
              </w:rPr>
            </w:pPr>
            <w:r>
              <w:rPr>
                <w:rFonts w:hint="eastAsia"/>
                <w:color w:val="auto"/>
                <w:kern w:val="2"/>
                <w:sz w:val="21"/>
                <w:szCs w:val="21"/>
                <w:highlight w:val="none"/>
                <w:lang w:eastAsia="zh-CN"/>
              </w:rPr>
              <w:t>时间：</w:t>
            </w:r>
            <w:r>
              <w:rPr>
                <w:rFonts w:hint="eastAsia" w:cs="微软雅黑"/>
                <w:b/>
                <w:bCs/>
                <w:color w:val="auto"/>
                <w:sz w:val="21"/>
                <w:szCs w:val="21"/>
                <w:highlight w:val="none"/>
                <w:u w:val="single"/>
                <w:shd w:val="clear" w:color="auto" w:fill="FFFFFF"/>
                <w:lang w:eastAsia="zh-CN" w:bidi="ar"/>
              </w:rPr>
              <w:t>2025</w:t>
            </w:r>
            <w:r>
              <w:rPr>
                <w:rFonts w:hint="eastAsia" w:cs="微软雅黑"/>
                <w:b/>
                <w:bCs/>
                <w:color w:val="auto"/>
                <w:sz w:val="21"/>
                <w:szCs w:val="21"/>
                <w:highlight w:val="none"/>
                <w:shd w:val="clear" w:color="auto" w:fill="FFFFFF"/>
                <w:lang w:eastAsia="zh-CN" w:bidi="ar"/>
              </w:rPr>
              <w:t>年</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 xml:space="preserve">5 </w:t>
            </w:r>
            <w:r>
              <w:rPr>
                <w:rFonts w:hint="eastAsia" w:cs="微软雅黑"/>
                <w:b/>
                <w:bCs/>
                <w:color w:val="auto"/>
                <w:sz w:val="21"/>
                <w:szCs w:val="21"/>
                <w:highlight w:val="none"/>
                <w:shd w:val="clear" w:color="auto" w:fill="FFFFFF"/>
                <w:lang w:eastAsia="zh-CN" w:bidi="ar"/>
              </w:rPr>
              <w:t>月</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 xml:space="preserve">27 </w:t>
            </w:r>
            <w:r>
              <w:rPr>
                <w:rFonts w:hint="eastAsia" w:cs="微软雅黑"/>
                <w:b/>
                <w:bCs/>
                <w:color w:val="auto"/>
                <w:sz w:val="21"/>
                <w:szCs w:val="21"/>
                <w:highlight w:val="none"/>
                <w:shd w:val="clear" w:color="auto" w:fill="FFFFFF"/>
                <w:lang w:eastAsia="zh-CN" w:bidi="ar"/>
              </w:rPr>
              <w:t>日</w:t>
            </w:r>
            <w:r>
              <w:rPr>
                <w:rFonts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u w:val="single"/>
                <w:shd w:val="clear" w:color="auto" w:fill="FFFFFF"/>
                <w:lang w:val="en-US" w:eastAsia="zh-CN" w:bidi="ar"/>
              </w:rPr>
              <w:t>9</w:t>
            </w:r>
            <w:r>
              <w:rPr>
                <w:rFonts w:hint="eastAsia"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shd w:val="clear" w:color="auto" w:fill="FFFFFF"/>
                <w:lang w:eastAsia="zh-CN" w:bidi="ar"/>
              </w:rPr>
              <w:t>时</w:t>
            </w:r>
            <w:r>
              <w:rPr>
                <w:rFonts w:hint="eastAsia" w:cs="微软雅黑"/>
                <w:b/>
                <w:bCs/>
                <w:color w:val="auto"/>
                <w:sz w:val="21"/>
                <w:szCs w:val="21"/>
                <w:highlight w:val="none"/>
                <w:u w:val="single"/>
                <w:shd w:val="clear" w:color="auto" w:fill="FFFFFF"/>
                <w:lang w:eastAsia="zh-CN" w:bidi="ar"/>
              </w:rPr>
              <w:t xml:space="preserve"> 00</w:t>
            </w:r>
            <w:r>
              <w:rPr>
                <w:rFonts w:cs="微软雅黑"/>
                <w:b/>
                <w:bCs/>
                <w:color w:val="auto"/>
                <w:sz w:val="21"/>
                <w:szCs w:val="21"/>
                <w:highlight w:val="none"/>
                <w:u w:val="single"/>
                <w:shd w:val="clear" w:color="auto" w:fill="FFFFFF"/>
                <w:lang w:eastAsia="zh-CN" w:bidi="ar"/>
              </w:rPr>
              <w:t xml:space="preserve"> </w:t>
            </w:r>
            <w:r>
              <w:rPr>
                <w:rFonts w:hint="eastAsia" w:cs="微软雅黑"/>
                <w:b/>
                <w:bCs/>
                <w:color w:val="auto"/>
                <w:sz w:val="21"/>
                <w:szCs w:val="21"/>
                <w:highlight w:val="none"/>
                <w:shd w:val="clear" w:color="auto" w:fill="FFFFFF"/>
                <w:lang w:eastAsia="zh-CN" w:bidi="ar"/>
              </w:rPr>
              <w:t>分</w:t>
            </w:r>
          </w:p>
          <w:p w14:paraId="5EC2F5A2">
            <w:pPr>
              <w:adjustRightInd w:val="0"/>
              <w:snapToGrid w:val="0"/>
              <w:spacing w:line="360" w:lineRule="exact"/>
              <w:jc w:val="left"/>
              <w:rPr>
                <w:rFonts w:hint="eastAsia"/>
                <w:b/>
                <w:color w:val="auto"/>
                <w:sz w:val="21"/>
                <w:szCs w:val="21"/>
                <w:highlight w:val="none"/>
                <w:lang w:eastAsia="zh-CN"/>
              </w:rPr>
            </w:pPr>
            <w:r>
              <w:rPr>
                <w:rFonts w:hint="eastAsia"/>
                <w:color w:val="auto"/>
                <w:kern w:val="2"/>
                <w:sz w:val="21"/>
                <w:szCs w:val="21"/>
                <w:highlight w:val="none"/>
                <w:lang w:eastAsia="zh-CN"/>
              </w:rPr>
              <w:t>地点：</w:t>
            </w:r>
            <w:r>
              <w:rPr>
                <w:rFonts w:hint="eastAsia"/>
                <w:b/>
                <w:bCs/>
                <w:color w:val="auto"/>
                <w:kern w:val="2"/>
                <w:sz w:val="21"/>
                <w:szCs w:val="21"/>
                <w:highlight w:val="none"/>
                <w:u w:val="single"/>
                <w:lang w:eastAsia="zh-CN"/>
              </w:rPr>
              <w:t>盐城市希望大道南路5号国际软件园6号楼B座六楼开标室</w:t>
            </w:r>
            <w:r>
              <w:rPr>
                <w:rFonts w:hint="eastAsia"/>
                <w:color w:val="auto"/>
                <w:kern w:val="2"/>
                <w:sz w:val="21"/>
                <w:szCs w:val="21"/>
                <w:highlight w:val="none"/>
                <w:lang w:eastAsia="zh-CN"/>
              </w:rPr>
              <w:t>，逾期提交的投标文件不予接收。</w:t>
            </w:r>
          </w:p>
        </w:tc>
      </w:tr>
      <w:tr w14:paraId="03A1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2DDA1C1">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4.2.3</w:t>
            </w:r>
          </w:p>
        </w:tc>
        <w:tc>
          <w:tcPr>
            <w:tcW w:w="2488" w:type="dxa"/>
            <w:vAlign w:val="center"/>
          </w:tcPr>
          <w:p w14:paraId="1456A643">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投标文件是否退还</w:t>
            </w:r>
          </w:p>
        </w:tc>
        <w:tc>
          <w:tcPr>
            <w:tcW w:w="6430" w:type="dxa"/>
            <w:vAlign w:val="center"/>
          </w:tcPr>
          <w:p w14:paraId="096CB067">
            <w:pPr>
              <w:pStyle w:val="70"/>
              <w:adjustRightInd w:val="0"/>
              <w:snapToGrid w:val="0"/>
              <w:spacing w:line="360" w:lineRule="exact"/>
              <w:jc w:val="left"/>
              <w:rPr>
                <w:rFonts w:hint="eastAsia"/>
                <w:color w:val="auto"/>
                <w:sz w:val="21"/>
                <w:szCs w:val="21"/>
                <w:highlight w:val="none"/>
                <w:lang w:eastAsia="zh-CN"/>
              </w:rPr>
            </w:pPr>
            <w:r>
              <w:rPr>
                <w:rFonts w:hint="eastAsia"/>
                <w:color w:val="auto"/>
                <w:sz w:val="21"/>
                <w:szCs w:val="21"/>
                <w:highlight w:val="none"/>
                <w:lang w:eastAsia="zh-CN"/>
              </w:rPr>
              <w:t>否</w:t>
            </w:r>
          </w:p>
        </w:tc>
      </w:tr>
      <w:tr w14:paraId="40DD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83D261F">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5.1</w:t>
            </w:r>
          </w:p>
        </w:tc>
        <w:tc>
          <w:tcPr>
            <w:tcW w:w="2488" w:type="dxa"/>
            <w:vAlign w:val="center"/>
          </w:tcPr>
          <w:p w14:paraId="7715D207">
            <w:pPr>
              <w:pStyle w:val="70"/>
              <w:adjustRightInd w:val="0"/>
              <w:snapToGrid w:val="0"/>
              <w:spacing w:line="360" w:lineRule="exact"/>
              <w:jc w:val="center"/>
              <w:rPr>
                <w:rFonts w:hint="eastAsia"/>
                <w:color w:val="auto"/>
                <w:sz w:val="21"/>
                <w:szCs w:val="21"/>
                <w:highlight w:val="none"/>
                <w:lang w:eastAsia="zh-CN"/>
              </w:rPr>
            </w:pPr>
            <w:r>
              <w:rPr>
                <w:rFonts w:hint="eastAsia"/>
                <w:b/>
                <w:bCs/>
                <w:color w:val="auto"/>
                <w:sz w:val="21"/>
                <w:szCs w:val="21"/>
                <w:highlight w:val="none"/>
                <w:lang w:eastAsia="zh-CN"/>
              </w:rPr>
              <w:t>开标时间和地点</w:t>
            </w:r>
          </w:p>
        </w:tc>
        <w:tc>
          <w:tcPr>
            <w:tcW w:w="6430" w:type="dxa"/>
            <w:vAlign w:val="center"/>
          </w:tcPr>
          <w:p w14:paraId="150E48A5">
            <w:pPr>
              <w:adjustRightInd w:val="0"/>
              <w:snapToGrid w:val="0"/>
              <w:spacing w:line="360" w:lineRule="exact"/>
              <w:jc w:val="both"/>
              <w:rPr>
                <w:rFonts w:hint="eastAsia"/>
                <w:b/>
                <w:bCs/>
                <w:color w:val="auto"/>
                <w:kern w:val="2"/>
                <w:sz w:val="21"/>
                <w:szCs w:val="21"/>
                <w:highlight w:val="none"/>
                <w:u w:val="single"/>
                <w:lang w:eastAsia="zh-CN"/>
              </w:rPr>
            </w:pPr>
            <w:r>
              <w:rPr>
                <w:rFonts w:hint="eastAsia"/>
                <w:color w:val="auto"/>
                <w:kern w:val="2"/>
                <w:sz w:val="21"/>
                <w:szCs w:val="21"/>
                <w:highlight w:val="none"/>
                <w:lang w:eastAsia="zh-CN"/>
              </w:rPr>
              <w:t>开标时间：</w:t>
            </w:r>
            <w:r>
              <w:rPr>
                <w:rFonts w:hint="eastAsia"/>
                <w:b/>
                <w:bCs/>
                <w:color w:val="auto"/>
                <w:kern w:val="2"/>
                <w:sz w:val="21"/>
                <w:szCs w:val="21"/>
                <w:highlight w:val="none"/>
                <w:u w:val="single"/>
                <w:lang w:eastAsia="zh-CN"/>
              </w:rPr>
              <w:t>同投标截止时间</w:t>
            </w:r>
          </w:p>
          <w:p w14:paraId="6DDA4E2F">
            <w:pPr>
              <w:pStyle w:val="70"/>
              <w:adjustRightInd w:val="0"/>
              <w:snapToGrid w:val="0"/>
              <w:spacing w:line="360" w:lineRule="exact"/>
              <w:jc w:val="left"/>
              <w:rPr>
                <w:rFonts w:hint="eastAsia"/>
                <w:color w:val="auto"/>
                <w:sz w:val="21"/>
                <w:szCs w:val="21"/>
                <w:highlight w:val="none"/>
                <w:lang w:eastAsia="zh-CN"/>
              </w:rPr>
            </w:pPr>
            <w:r>
              <w:rPr>
                <w:rFonts w:hint="eastAsia"/>
                <w:color w:val="auto"/>
                <w:kern w:val="2"/>
                <w:sz w:val="21"/>
                <w:szCs w:val="21"/>
                <w:highlight w:val="none"/>
                <w:lang w:eastAsia="zh-CN"/>
              </w:rPr>
              <w:t>开标地点：</w:t>
            </w:r>
            <w:r>
              <w:rPr>
                <w:rFonts w:hint="eastAsia"/>
                <w:b/>
                <w:bCs/>
                <w:color w:val="auto"/>
                <w:kern w:val="2"/>
                <w:sz w:val="21"/>
                <w:szCs w:val="21"/>
                <w:highlight w:val="none"/>
                <w:u w:val="single"/>
                <w:lang w:eastAsia="zh-CN"/>
              </w:rPr>
              <w:t>同投标文件递交地点</w:t>
            </w:r>
          </w:p>
        </w:tc>
      </w:tr>
      <w:tr w14:paraId="020A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DD6A434">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5.2.1</w:t>
            </w:r>
          </w:p>
        </w:tc>
        <w:tc>
          <w:tcPr>
            <w:tcW w:w="2488" w:type="dxa"/>
            <w:vAlign w:val="center"/>
          </w:tcPr>
          <w:p w14:paraId="521F9747">
            <w:pPr>
              <w:pStyle w:val="70"/>
              <w:adjustRightInd w:val="0"/>
              <w:snapToGrid w:val="0"/>
              <w:spacing w:line="360" w:lineRule="exact"/>
              <w:jc w:val="center"/>
              <w:rPr>
                <w:rFonts w:hint="eastAsia"/>
                <w:b/>
                <w:bCs/>
                <w:color w:val="auto"/>
                <w:sz w:val="21"/>
                <w:szCs w:val="21"/>
                <w:highlight w:val="none"/>
                <w:lang w:eastAsia="zh-CN"/>
              </w:rPr>
            </w:pPr>
            <w:r>
              <w:rPr>
                <w:rFonts w:hint="eastAsia"/>
                <w:b/>
                <w:bCs/>
                <w:color w:val="auto"/>
                <w:sz w:val="21"/>
                <w:szCs w:val="21"/>
                <w:highlight w:val="none"/>
                <w:lang w:eastAsia="zh-CN"/>
              </w:rPr>
              <w:t>投标人出席开标会的人员</w:t>
            </w:r>
          </w:p>
        </w:tc>
        <w:tc>
          <w:tcPr>
            <w:tcW w:w="6430" w:type="dxa"/>
            <w:vAlign w:val="center"/>
          </w:tcPr>
          <w:p w14:paraId="7DF0DED7">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本项目要求投标人出席开标会的人员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3498"/>
            </w:tblGrid>
            <w:tr w14:paraId="3F1F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79" w:type="dxa"/>
                  <w:vAlign w:val="center"/>
                </w:tcPr>
                <w:p w14:paraId="06E9CFF1">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人员种类</w:t>
                  </w:r>
                </w:p>
              </w:tc>
              <w:tc>
                <w:tcPr>
                  <w:tcW w:w="3498" w:type="dxa"/>
                  <w:vAlign w:val="center"/>
                </w:tcPr>
                <w:p w14:paraId="028A9FB2">
                  <w:pPr>
                    <w:adjustRightInd w:val="0"/>
                    <w:snapToGrid w:val="0"/>
                    <w:spacing w:line="360" w:lineRule="exact"/>
                    <w:jc w:val="center"/>
                    <w:rPr>
                      <w:rFonts w:hint="eastAsia"/>
                      <w:b/>
                      <w:bCs/>
                      <w:color w:val="auto"/>
                      <w:sz w:val="21"/>
                      <w:szCs w:val="21"/>
                      <w:highlight w:val="none"/>
                      <w:lang w:eastAsia="zh-CN"/>
                    </w:rPr>
                  </w:pPr>
                  <w:r>
                    <w:rPr>
                      <w:rFonts w:hint="eastAsia"/>
                      <w:b/>
                      <w:bCs/>
                      <w:color w:val="auto"/>
                      <w:sz w:val="21"/>
                      <w:szCs w:val="21"/>
                      <w:highlight w:val="none"/>
                      <w:lang w:eastAsia="zh-CN"/>
                    </w:rPr>
                    <w:t>法定代表人（</w:t>
                  </w:r>
                  <w:r>
                    <w:rPr>
                      <w:rFonts w:hint="eastAsia"/>
                      <w:b/>
                      <w:bCs/>
                      <w:color w:val="auto"/>
                      <w:sz w:val="21"/>
                      <w:szCs w:val="21"/>
                      <w:highlight w:val="none"/>
                      <w:lang w:eastAsia="zh-CN"/>
                    </w:rPr>
                    <w:t>执行事务</w:t>
                  </w:r>
                  <w:r>
                    <w:rPr>
                      <w:rFonts w:hint="eastAsia" w:cs="TimesNewRomanPSMT"/>
                      <w:b/>
                      <w:bCs/>
                      <w:color w:val="auto"/>
                      <w:kern w:val="2"/>
                      <w:sz w:val="21"/>
                      <w:szCs w:val="24"/>
                      <w:highlight w:val="none"/>
                      <w:lang w:val="en-US" w:eastAsia="zh-CN"/>
                    </w:rPr>
                    <w:t>合伙人</w:t>
                  </w:r>
                  <w:r>
                    <w:rPr>
                      <w:rFonts w:hint="eastAsia"/>
                      <w:b/>
                      <w:bCs/>
                      <w:color w:val="auto"/>
                      <w:sz w:val="21"/>
                      <w:szCs w:val="21"/>
                      <w:highlight w:val="none"/>
                      <w:lang w:eastAsia="zh-CN"/>
                    </w:rPr>
                    <w:t>）或委托代理人</w:t>
                  </w:r>
                </w:p>
              </w:tc>
            </w:tr>
          </w:tbl>
          <w:p w14:paraId="7DEAB0DF">
            <w:pPr>
              <w:adjustRightInd w:val="0"/>
              <w:snapToGrid w:val="0"/>
              <w:spacing w:line="360" w:lineRule="exact"/>
              <w:jc w:val="both"/>
              <w:rPr>
                <w:rFonts w:hint="eastAsia"/>
                <w:color w:val="auto"/>
                <w:kern w:val="2"/>
                <w:sz w:val="21"/>
                <w:szCs w:val="21"/>
                <w:highlight w:val="none"/>
                <w:lang w:eastAsia="zh-CN"/>
              </w:rPr>
            </w:pPr>
            <w:r>
              <w:rPr>
                <w:rFonts w:hint="eastAsia"/>
                <w:b/>
                <w:bCs/>
                <w:color w:val="auto"/>
                <w:sz w:val="21"/>
                <w:szCs w:val="21"/>
                <w:highlight w:val="none"/>
                <w:lang w:eastAsia="zh-CN"/>
              </w:rPr>
              <w:t>招标人邀请所有投标人的法定代表人（</w:t>
            </w:r>
            <w:r>
              <w:rPr>
                <w:rFonts w:hint="eastAsia"/>
                <w:b/>
                <w:bCs/>
                <w:color w:val="auto"/>
                <w:sz w:val="21"/>
                <w:szCs w:val="21"/>
                <w:highlight w:val="none"/>
                <w:lang w:eastAsia="zh-CN"/>
              </w:rPr>
              <w:t>执行事务</w:t>
            </w:r>
            <w:r>
              <w:rPr>
                <w:rFonts w:hint="eastAsia" w:cs="TimesNewRomanPSMT"/>
                <w:b/>
                <w:bCs/>
                <w:color w:val="auto"/>
                <w:kern w:val="2"/>
                <w:sz w:val="21"/>
                <w:szCs w:val="24"/>
                <w:highlight w:val="none"/>
                <w:lang w:val="en-US" w:eastAsia="zh-CN"/>
              </w:rPr>
              <w:t>合伙人</w:t>
            </w:r>
            <w:r>
              <w:rPr>
                <w:rFonts w:hint="eastAsia"/>
                <w:b/>
                <w:bCs/>
                <w:color w:val="auto"/>
                <w:sz w:val="21"/>
                <w:szCs w:val="21"/>
                <w:highlight w:val="none"/>
                <w:lang w:eastAsia="zh-CN"/>
              </w:rPr>
              <w:t>）或委托代理人参加开标会的，投标人的法定代表人</w:t>
            </w:r>
            <w:r>
              <w:rPr>
                <w:rFonts w:hint="eastAsia"/>
                <w:b/>
                <w:bCs/>
                <w:color w:val="auto"/>
                <w:sz w:val="21"/>
                <w:szCs w:val="21"/>
                <w:highlight w:val="none"/>
                <w:lang w:eastAsia="zh-CN"/>
              </w:rPr>
              <w:t>（执行事务</w:t>
            </w:r>
            <w:r>
              <w:rPr>
                <w:rFonts w:hint="eastAsia" w:cs="TimesNewRomanPSMT"/>
                <w:b/>
                <w:bCs/>
                <w:color w:val="auto"/>
                <w:kern w:val="2"/>
                <w:sz w:val="21"/>
                <w:szCs w:val="24"/>
                <w:highlight w:val="none"/>
                <w:lang w:val="en-US" w:eastAsia="zh-CN"/>
              </w:rPr>
              <w:t>合伙人</w:t>
            </w:r>
            <w:r>
              <w:rPr>
                <w:rFonts w:hint="eastAsia"/>
                <w:b/>
                <w:bCs/>
                <w:color w:val="auto"/>
                <w:sz w:val="21"/>
                <w:szCs w:val="21"/>
                <w:highlight w:val="none"/>
                <w:lang w:eastAsia="zh-CN"/>
              </w:rPr>
              <w:t>）</w:t>
            </w:r>
            <w:r>
              <w:rPr>
                <w:rFonts w:hint="eastAsia"/>
                <w:b/>
                <w:bCs/>
                <w:color w:val="auto"/>
                <w:sz w:val="21"/>
                <w:szCs w:val="21"/>
                <w:highlight w:val="none"/>
                <w:lang w:eastAsia="zh-CN"/>
              </w:rPr>
              <w:t>或委托代理人应当按时参加开标会；以上招标人要求出席开标会议的人员，应在招标人按开标程序进行点名时，出示本人二代身份证原件（不含临时身份证），凡二代身份证在开标时不能出示的或提供虚假证件的，其投标文件作无效标书处理。</w:t>
            </w:r>
          </w:p>
        </w:tc>
      </w:tr>
      <w:tr w14:paraId="6CED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1063361">
            <w:pPr>
              <w:adjustRightInd w:val="0"/>
              <w:snapToGrid w:val="0"/>
              <w:spacing w:line="360" w:lineRule="exact"/>
              <w:jc w:val="center"/>
              <w:rPr>
                <w:rFonts w:hint="eastAsia"/>
                <w:color w:val="auto"/>
                <w:sz w:val="21"/>
                <w:szCs w:val="21"/>
                <w:highlight w:val="none"/>
              </w:rPr>
            </w:pPr>
            <w:r>
              <w:rPr>
                <w:rFonts w:hint="eastAsia"/>
                <w:color w:val="auto"/>
                <w:sz w:val="21"/>
                <w:szCs w:val="21"/>
                <w:highlight w:val="none"/>
              </w:rPr>
              <w:t>8.1</w:t>
            </w:r>
          </w:p>
        </w:tc>
        <w:tc>
          <w:tcPr>
            <w:tcW w:w="2488" w:type="dxa"/>
            <w:vAlign w:val="center"/>
          </w:tcPr>
          <w:p w14:paraId="7F219167">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是否授权评标委员会确定中标人</w:t>
            </w:r>
          </w:p>
        </w:tc>
        <w:tc>
          <w:tcPr>
            <w:tcW w:w="6430" w:type="dxa"/>
            <w:vAlign w:val="center"/>
          </w:tcPr>
          <w:p w14:paraId="2DF5E8F2">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否，评标委员会推荐</w:t>
            </w:r>
            <w:r>
              <w:rPr>
                <w:rFonts w:hint="eastAsia"/>
                <w:color w:val="auto"/>
                <w:sz w:val="21"/>
                <w:szCs w:val="21"/>
                <w:highlight w:val="none"/>
                <w:lang w:val="en-US" w:eastAsia="zh-CN"/>
              </w:rPr>
              <w:t>1</w:t>
            </w:r>
            <w:r>
              <w:rPr>
                <w:rFonts w:hint="eastAsia"/>
                <w:color w:val="auto"/>
                <w:sz w:val="21"/>
                <w:szCs w:val="21"/>
                <w:highlight w:val="none"/>
                <w:lang w:eastAsia="zh-CN"/>
              </w:rPr>
              <w:t>名中标候选人。</w:t>
            </w:r>
          </w:p>
        </w:tc>
      </w:tr>
      <w:tr w14:paraId="0CA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86D14E2">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8.3.1</w:t>
            </w:r>
          </w:p>
        </w:tc>
        <w:tc>
          <w:tcPr>
            <w:tcW w:w="2488" w:type="dxa"/>
            <w:vAlign w:val="center"/>
          </w:tcPr>
          <w:p w14:paraId="09593F81">
            <w:pPr>
              <w:pStyle w:val="70"/>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履约保证金</w:t>
            </w:r>
          </w:p>
        </w:tc>
        <w:tc>
          <w:tcPr>
            <w:tcW w:w="6430" w:type="dxa"/>
            <w:vAlign w:val="center"/>
          </w:tcPr>
          <w:p w14:paraId="26370C9A">
            <w:pPr>
              <w:adjustRightInd w:val="0"/>
              <w:spacing w:line="360" w:lineRule="auto"/>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本项目</w:t>
            </w:r>
            <w:r>
              <w:rPr>
                <w:rFonts w:hint="eastAsia" w:ascii="Calibri" w:hAnsi="Calibri" w:cs="Times New Roman"/>
                <w:color w:val="auto"/>
                <w:kern w:val="2"/>
                <w:sz w:val="21"/>
                <w:szCs w:val="21"/>
                <w:highlight w:val="none"/>
                <w:lang w:eastAsia="zh-CN"/>
              </w:rPr>
              <w:t>履约保证金的金额为</w:t>
            </w:r>
            <w:r>
              <w:rPr>
                <w:rFonts w:hint="eastAsia" w:ascii="Calibri" w:hAnsi="Calibri" w:cs="Times New Roman"/>
                <w:b/>
                <w:bCs/>
                <w:color w:val="auto"/>
                <w:kern w:val="2"/>
                <w:sz w:val="21"/>
                <w:szCs w:val="21"/>
                <w:highlight w:val="none"/>
                <w:u w:val="single"/>
                <w:lang w:eastAsia="zh-CN"/>
              </w:rPr>
              <w:t>中标价的10%</w:t>
            </w:r>
            <w:r>
              <w:rPr>
                <w:rFonts w:hint="eastAsia" w:ascii="Calibri" w:hAnsi="Calibri" w:cs="Times New Roman"/>
                <w:color w:val="auto"/>
                <w:kern w:val="2"/>
                <w:sz w:val="21"/>
                <w:szCs w:val="21"/>
                <w:highlight w:val="none"/>
                <w:lang w:eastAsia="zh-CN"/>
              </w:rPr>
              <w:t>，</w:t>
            </w:r>
            <w:r>
              <w:rPr>
                <w:rFonts w:hint="eastAsia"/>
                <w:bCs/>
                <w:color w:val="auto"/>
                <w:kern w:val="2"/>
                <w:sz w:val="21"/>
                <w:szCs w:val="21"/>
                <w:highlight w:val="none"/>
                <w:lang w:eastAsia="zh-CN"/>
              </w:rPr>
              <w:t>中标人</w:t>
            </w:r>
            <w:r>
              <w:rPr>
                <w:rFonts w:hint="eastAsia"/>
                <w:color w:val="auto"/>
                <w:kern w:val="2"/>
                <w:sz w:val="21"/>
                <w:szCs w:val="21"/>
                <w:highlight w:val="none"/>
                <w:lang w:eastAsia="zh-CN"/>
              </w:rPr>
              <w:t>在收到中标通知书后，须在</w:t>
            </w:r>
            <w:r>
              <w:rPr>
                <w:rFonts w:hint="eastAsia"/>
                <w:color w:val="auto"/>
                <w:kern w:val="2"/>
                <w:sz w:val="21"/>
                <w:szCs w:val="21"/>
                <w:highlight w:val="none"/>
                <w:u w:val="single"/>
                <w:lang w:eastAsia="zh-CN"/>
              </w:rPr>
              <w:t xml:space="preserve"> 20日</w:t>
            </w:r>
            <w:r>
              <w:rPr>
                <w:rFonts w:hint="eastAsia"/>
                <w:color w:val="auto"/>
                <w:kern w:val="2"/>
                <w:sz w:val="21"/>
                <w:szCs w:val="21"/>
                <w:highlight w:val="none"/>
                <w:lang w:eastAsia="zh-CN"/>
              </w:rPr>
              <w:t>内向</w:t>
            </w:r>
            <w:bookmarkStart w:id="27" w:name="_Hlk161323529"/>
            <w:r>
              <w:rPr>
                <w:rFonts w:hint="eastAsia"/>
                <w:color w:val="auto"/>
                <w:kern w:val="2"/>
                <w:sz w:val="21"/>
                <w:szCs w:val="21"/>
                <w:highlight w:val="none"/>
                <w:lang w:eastAsia="zh-CN"/>
              </w:rPr>
              <w:t>招标人</w:t>
            </w:r>
            <w:bookmarkEnd w:id="27"/>
            <w:r>
              <w:rPr>
                <w:rFonts w:hint="eastAsia"/>
                <w:color w:val="auto"/>
                <w:kern w:val="2"/>
                <w:sz w:val="21"/>
                <w:szCs w:val="21"/>
                <w:highlight w:val="none"/>
                <w:lang w:eastAsia="zh-CN"/>
              </w:rPr>
              <w:t>按招标文件约定方式足额提交履约保证金，否则招标人可以取消其中标资格。</w:t>
            </w:r>
          </w:p>
          <w:p w14:paraId="2E592805">
            <w:pPr>
              <w:adjustRightInd w:val="0"/>
              <w:spacing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履约保证金的形式：</w:t>
            </w:r>
          </w:p>
          <w:p w14:paraId="2FFC919D">
            <w:pPr>
              <w:spacing w:line="360" w:lineRule="auto"/>
              <w:ind w:firstLine="422" w:firstLineChars="200"/>
              <w:jc w:val="both"/>
              <w:rPr>
                <w:rFonts w:ascii="Calibri" w:hAnsi="Calibri" w:cs="Times New Roman"/>
                <w:b/>
                <w:bCs/>
                <w:color w:val="auto"/>
                <w:kern w:val="2"/>
                <w:sz w:val="21"/>
                <w:szCs w:val="21"/>
                <w:highlight w:val="none"/>
                <w:u w:val="single"/>
                <w:lang w:eastAsia="zh-CN"/>
              </w:rPr>
            </w:pPr>
            <w:r>
              <w:rPr>
                <w:rFonts w:hint="eastAsia"/>
                <w:b/>
                <w:bCs/>
                <w:color w:val="auto"/>
                <w:kern w:val="2"/>
                <w:sz w:val="21"/>
                <w:szCs w:val="21"/>
                <w:highlight w:val="none"/>
                <w:u w:val="single"/>
                <w:lang w:eastAsia="zh-CN"/>
              </w:rPr>
              <w:t>（1）</w:t>
            </w:r>
            <w:r>
              <w:rPr>
                <w:rFonts w:hint="eastAsia" w:ascii="Calibri" w:hAnsi="Calibri" w:cs="Times New Roman"/>
                <w:color w:val="auto"/>
                <w:kern w:val="2"/>
                <w:sz w:val="21"/>
                <w:szCs w:val="21"/>
                <w:highlight w:val="none"/>
                <w:u w:val="single"/>
                <w:lang w:eastAsia="zh-CN"/>
              </w:rPr>
              <w:t xml:space="preserve"> </w:t>
            </w:r>
            <w:r>
              <w:rPr>
                <w:rFonts w:hint="eastAsia"/>
                <w:b/>
                <w:bCs/>
                <w:color w:val="auto"/>
                <w:kern w:val="2"/>
                <w:sz w:val="21"/>
                <w:szCs w:val="21"/>
                <w:highlight w:val="none"/>
                <w:u w:val="single"/>
                <w:lang w:eastAsia="zh-CN"/>
              </w:rPr>
              <w:t>招标人接受</w:t>
            </w:r>
            <w:bookmarkStart w:id="28" w:name="_Hlk162358285"/>
            <w:r>
              <w:rPr>
                <w:rFonts w:hint="eastAsia"/>
                <w:b/>
                <w:bCs/>
                <w:color w:val="auto"/>
                <w:kern w:val="2"/>
                <w:sz w:val="21"/>
                <w:szCs w:val="21"/>
                <w:highlight w:val="none"/>
                <w:u w:val="single"/>
                <w:lang w:eastAsia="zh-CN"/>
              </w:rPr>
              <w:t>中标人</w:t>
            </w:r>
            <w:bookmarkEnd w:id="28"/>
            <w:r>
              <w:rPr>
                <w:rFonts w:hint="eastAsia" w:ascii="Calibri" w:hAnsi="Calibri" w:cs="Times New Roman"/>
                <w:b/>
                <w:bCs/>
                <w:color w:val="auto"/>
                <w:kern w:val="2"/>
                <w:sz w:val="21"/>
                <w:szCs w:val="21"/>
                <w:highlight w:val="none"/>
                <w:u w:val="single"/>
                <w:lang w:eastAsia="zh-CN"/>
              </w:rPr>
              <w:t>从基本账户缴纳的现金、数字人民币或银行保函中任何一种形式的履约保证金。</w:t>
            </w:r>
            <w:r>
              <w:rPr>
                <w:rFonts w:hint="eastAsia"/>
                <w:b/>
                <w:bCs/>
                <w:color w:val="auto"/>
                <w:kern w:val="2"/>
                <w:sz w:val="21"/>
                <w:szCs w:val="21"/>
                <w:highlight w:val="none"/>
                <w:u w:val="single"/>
                <w:lang w:eastAsia="zh-CN"/>
              </w:rPr>
              <w:t>具体形式由中标人自主选择。</w:t>
            </w:r>
          </w:p>
          <w:p w14:paraId="60CED60B">
            <w:pPr>
              <w:spacing w:line="360" w:lineRule="auto"/>
              <w:ind w:firstLine="422" w:firstLineChars="200"/>
              <w:jc w:val="both"/>
              <w:rPr>
                <w:rFonts w:ascii="Calibri" w:hAnsi="Calibri" w:cs="Times New Roman"/>
                <w:b/>
                <w:bCs/>
                <w:color w:val="auto"/>
                <w:kern w:val="2"/>
                <w:sz w:val="21"/>
                <w:szCs w:val="21"/>
                <w:highlight w:val="none"/>
                <w:u w:val="single"/>
                <w:lang w:eastAsia="zh-CN"/>
              </w:rPr>
            </w:pPr>
            <w:r>
              <w:rPr>
                <w:rFonts w:hint="eastAsia"/>
                <w:b/>
                <w:bCs/>
                <w:color w:val="auto"/>
                <w:kern w:val="2"/>
                <w:sz w:val="21"/>
                <w:szCs w:val="21"/>
                <w:highlight w:val="none"/>
                <w:u w:val="single"/>
                <w:lang w:eastAsia="zh-CN"/>
              </w:rPr>
              <w:t>（2）本</w:t>
            </w:r>
            <w:r>
              <w:rPr>
                <w:rFonts w:hint="eastAsia" w:ascii="Calibri" w:hAnsi="Calibri" w:cs="Times New Roman"/>
                <w:b/>
                <w:bCs/>
                <w:color w:val="auto"/>
                <w:kern w:val="2"/>
                <w:sz w:val="21"/>
                <w:szCs w:val="21"/>
                <w:highlight w:val="none"/>
                <w:u w:val="single"/>
                <w:lang w:eastAsia="zh-CN"/>
              </w:rPr>
              <w:t>项目接受中标人提供的从基本账户缴纳的担保机构保函、保险机构保单等非现金交易担保方式。</w:t>
            </w:r>
          </w:p>
          <w:p w14:paraId="5CF48745">
            <w:pPr>
              <w:spacing w:line="360" w:lineRule="auto"/>
              <w:ind w:firstLine="408" w:firstLineChars="200"/>
              <w:jc w:val="both"/>
              <w:rPr>
                <w:rFonts w:hint="eastAsia"/>
                <w:color w:val="auto"/>
                <w:spacing w:val="-3"/>
                <w:kern w:val="2"/>
                <w:sz w:val="21"/>
                <w:szCs w:val="21"/>
                <w:highlight w:val="none"/>
                <w:lang w:eastAsia="zh-CN"/>
              </w:rPr>
            </w:pPr>
            <w:bookmarkStart w:id="29" w:name="_Toc164876334"/>
            <w:r>
              <w:rPr>
                <w:rFonts w:hint="eastAsia"/>
                <w:color w:val="auto"/>
                <w:spacing w:val="-3"/>
                <w:kern w:val="2"/>
                <w:sz w:val="21"/>
                <w:szCs w:val="21"/>
                <w:highlight w:val="none"/>
                <w:lang w:eastAsia="zh-CN"/>
              </w:rPr>
              <w:t>注：招标人对中标人不能遵守招标文件约定，不能按时办理中标手续和缴纳履约保证金等费用，影响或者推迟签订合同的，招标人有权在中标通知书发出后第21日起宣布该中标人废标，有权没收其投标保证金，并按照国家相关法律、法规和规章的规定，建议行政主管部门予以处罚。</w:t>
            </w:r>
            <w:bookmarkEnd w:id="29"/>
          </w:p>
          <w:p w14:paraId="66C4E2F1">
            <w:pPr>
              <w:wordWrap w:val="0"/>
              <w:spacing w:line="360" w:lineRule="auto"/>
              <w:ind w:firstLine="420" w:firstLineChars="200"/>
              <w:jc w:val="both"/>
              <w:rPr>
                <w:rFonts w:hint="eastAsia" w:cs="TimesNewRomanPSMT"/>
                <w:color w:val="auto"/>
                <w:kern w:val="2"/>
                <w:sz w:val="21"/>
                <w:szCs w:val="21"/>
                <w:highlight w:val="none"/>
                <w:lang w:eastAsia="zh-CN"/>
              </w:rPr>
            </w:pPr>
            <w:r>
              <w:rPr>
                <w:rFonts w:hint="eastAsia" w:ascii="Calibri" w:hAnsi="Calibri" w:cs="Times New Roman"/>
                <w:color w:val="auto"/>
                <w:kern w:val="2"/>
                <w:sz w:val="21"/>
                <w:szCs w:val="21"/>
                <w:highlight w:val="none"/>
                <w:lang w:eastAsia="zh-CN"/>
              </w:rPr>
              <w:t>招标人履约保证金专用帐户</w:t>
            </w:r>
            <w:r>
              <w:rPr>
                <w:rFonts w:hint="eastAsia" w:cs="微软雅黑"/>
                <w:color w:val="auto"/>
                <w:kern w:val="2"/>
                <w:sz w:val="21"/>
                <w:szCs w:val="21"/>
                <w:highlight w:val="none"/>
                <w:lang w:eastAsia="zh-CN"/>
              </w:rPr>
              <w:t>（收款单位：</w:t>
            </w:r>
            <w:r>
              <w:rPr>
                <w:rFonts w:hint="eastAsia" w:cs="微软雅黑"/>
                <w:color w:val="auto"/>
                <w:kern w:val="2"/>
                <w:sz w:val="21"/>
                <w:szCs w:val="21"/>
                <w:highlight w:val="none"/>
                <w:u w:val="single"/>
                <w:lang w:eastAsia="zh-CN"/>
              </w:rPr>
              <w:t>盐城东方投资开集团有限公司</w:t>
            </w:r>
            <w:r>
              <w:rPr>
                <w:rFonts w:hint="eastAsia" w:cs="微软雅黑"/>
                <w:color w:val="auto"/>
                <w:kern w:val="2"/>
                <w:sz w:val="21"/>
                <w:szCs w:val="21"/>
                <w:highlight w:val="none"/>
                <w:lang w:eastAsia="zh-CN"/>
              </w:rPr>
              <w:t>；开户银行：</w:t>
            </w:r>
            <w:r>
              <w:rPr>
                <w:rFonts w:hint="eastAsia" w:cs="微软雅黑"/>
                <w:color w:val="auto"/>
                <w:kern w:val="2"/>
                <w:sz w:val="21"/>
                <w:szCs w:val="21"/>
                <w:highlight w:val="none"/>
                <w:u w:val="single"/>
                <w:lang w:eastAsia="zh-CN"/>
              </w:rPr>
              <w:t>中国建设银行盐城开发区支行</w:t>
            </w:r>
            <w:r>
              <w:rPr>
                <w:rFonts w:hint="eastAsia" w:cs="微软雅黑"/>
                <w:color w:val="auto"/>
                <w:kern w:val="2"/>
                <w:sz w:val="21"/>
                <w:szCs w:val="21"/>
                <w:highlight w:val="none"/>
                <w:lang w:eastAsia="zh-CN"/>
              </w:rPr>
              <w:t>；账号：</w:t>
            </w:r>
            <w:r>
              <w:rPr>
                <w:rFonts w:hint="eastAsia" w:cs="微软雅黑"/>
                <w:color w:val="auto"/>
                <w:kern w:val="2"/>
                <w:sz w:val="21"/>
                <w:szCs w:val="21"/>
                <w:highlight w:val="none"/>
                <w:u w:val="single"/>
                <w:lang w:eastAsia="zh-CN"/>
              </w:rPr>
              <w:t>32001735336050837146</w:t>
            </w:r>
            <w:r>
              <w:rPr>
                <w:rFonts w:hint="eastAsia" w:cs="微软雅黑"/>
                <w:color w:val="auto"/>
                <w:kern w:val="2"/>
                <w:sz w:val="21"/>
                <w:szCs w:val="21"/>
                <w:highlight w:val="none"/>
                <w:lang w:eastAsia="zh-CN"/>
              </w:rPr>
              <w:t>）</w:t>
            </w:r>
            <w:r>
              <w:rPr>
                <w:rFonts w:hint="eastAsia" w:cs="TimesNewRomanPSMT"/>
                <w:color w:val="auto"/>
                <w:kern w:val="2"/>
                <w:sz w:val="21"/>
                <w:szCs w:val="21"/>
                <w:highlight w:val="none"/>
                <w:lang w:eastAsia="zh-CN"/>
              </w:rPr>
              <w:t>。</w:t>
            </w:r>
          </w:p>
        </w:tc>
      </w:tr>
      <w:tr w14:paraId="40AA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66FFBDD">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10</w:t>
            </w:r>
          </w:p>
        </w:tc>
        <w:tc>
          <w:tcPr>
            <w:tcW w:w="8918" w:type="dxa"/>
            <w:gridSpan w:val="2"/>
            <w:vAlign w:val="center"/>
          </w:tcPr>
          <w:p w14:paraId="0D565FF2">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需要</w:t>
            </w:r>
            <w:r>
              <w:rPr>
                <w:color w:val="auto"/>
                <w:sz w:val="21"/>
                <w:szCs w:val="21"/>
                <w:highlight w:val="none"/>
                <w:lang w:eastAsia="zh-CN"/>
              </w:rPr>
              <w:t>补充</w:t>
            </w:r>
            <w:r>
              <w:rPr>
                <w:rFonts w:hint="eastAsia"/>
                <w:color w:val="auto"/>
                <w:sz w:val="21"/>
                <w:szCs w:val="21"/>
                <w:highlight w:val="none"/>
                <w:lang w:eastAsia="zh-CN"/>
              </w:rPr>
              <w:t>的其他</w:t>
            </w:r>
            <w:r>
              <w:rPr>
                <w:color w:val="auto"/>
                <w:sz w:val="21"/>
                <w:szCs w:val="21"/>
                <w:highlight w:val="none"/>
                <w:lang w:eastAsia="zh-CN"/>
              </w:rPr>
              <w:t>内容</w:t>
            </w:r>
          </w:p>
        </w:tc>
      </w:tr>
      <w:tr w14:paraId="05C8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7827AF9">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（1）</w:t>
            </w:r>
          </w:p>
        </w:tc>
        <w:tc>
          <w:tcPr>
            <w:tcW w:w="8918" w:type="dxa"/>
            <w:gridSpan w:val="2"/>
            <w:vAlign w:val="center"/>
          </w:tcPr>
          <w:p w14:paraId="3A852595">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7B1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B236FB6">
            <w:pPr>
              <w:adjustRightInd w:val="0"/>
              <w:snapToGrid w:val="0"/>
              <w:spacing w:line="360" w:lineRule="exact"/>
              <w:jc w:val="center"/>
              <w:rPr>
                <w:rFonts w:hint="eastAsia"/>
                <w:color w:val="auto"/>
                <w:sz w:val="21"/>
                <w:szCs w:val="21"/>
                <w:highlight w:val="none"/>
                <w:lang w:eastAsia="zh-CN"/>
              </w:rPr>
            </w:pPr>
            <w:r>
              <w:rPr>
                <w:rFonts w:hint="eastAsia"/>
                <w:color w:val="auto"/>
                <w:sz w:val="21"/>
                <w:szCs w:val="21"/>
                <w:highlight w:val="none"/>
                <w:lang w:eastAsia="zh-CN"/>
              </w:rPr>
              <w:t>（2）</w:t>
            </w:r>
          </w:p>
        </w:tc>
        <w:tc>
          <w:tcPr>
            <w:tcW w:w="8918" w:type="dxa"/>
            <w:gridSpan w:val="2"/>
            <w:vAlign w:val="center"/>
          </w:tcPr>
          <w:p w14:paraId="10FB97BC">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1、本招标文件时间均以中华人民共和国北京时间为准，所涉及金额的币种均为人民币。</w:t>
            </w:r>
          </w:p>
          <w:p w14:paraId="3A71E51A">
            <w:pPr>
              <w:adjustRightInd w:val="0"/>
              <w:snapToGrid w:val="0"/>
              <w:spacing w:line="360" w:lineRule="exact"/>
              <w:jc w:val="both"/>
              <w:rPr>
                <w:rFonts w:hint="default"/>
                <w:color w:val="auto"/>
                <w:sz w:val="21"/>
                <w:szCs w:val="21"/>
                <w:highlight w:val="none"/>
                <w:lang w:val="en-US" w:eastAsia="zh-CN"/>
              </w:rPr>
            </w:pPr>
            <w:r>
              <w:rPr>
                <w:rFonts w:hint="eastAsia"/>
                <w:color w:val="auto"/>
                <w:sz w:val="21"/>
                <w:szCs w:val="21"/>
                <w:highlight w:val="none"/>
                <w:lang w:eastAsia="zh-CN"/>
              </w:rPr>
              <w:t>2、凡参与本项目投标的投标人，视同已踏勘过项目现场和研究了本招标文件的所有内容，并无保留地接受招标文件的所有条款（含招标答疑、补充通知及最高投标限价等）。</w:t>
            </w:r>
          </w:p>
          <w:p w14:paraId="09E69B3E">
            <w:pPr>
              <w:adjustRightInd w:val="0"/>
              <w:snapToGrid w:val="0"/>
              <w:spacing w:line="360" w:lineRule="exact"/>
              <w:jc w:val="both"/>
              <w:rPr>
                <w:rFonts w:hint="default"/>
                <w:color w:val="auto"/>
                <w:sz w:val="21"/>
                <w:szCs w:val="21"/>
                <w:highlight w:val="none"/>
                <w:lang w:val="en-US" w:eastAsia="zh-CN"/>
              </w:rPr>
            </w:pPr>
            <w:r>
              <w:rPr>
                <w:rFonts w:hint="eastAsia"/>
                <w:color w:val="auto"/>
                <w:sz w:val="21"/>
                <w:szCs w:val="21"/>
                <w:highlight w:val="none"/>
                <w:lang w:eastAsia="zh-CN"/>
              </w:rPr>
              <w:t>3、本招标文件未尽事宜，按国家和省法律法规、规章要求处理。</w:t>
            </w:r>
          </w:p>
          <w:p w14:paraId="07AD3109">
            <w:pPr>
              <w:adjustRightInd w:val="0"/>
              <w:snapToGrid w:val="0"/>
              <w:spacing w:line="360" w:lineRule="exact"/>
              <w:jc w:val="both"/>
              <w:rPr>
                <w:rFonts w:hint="eastAsia"/>
                <w:color w:val="auto"/>
                <w:sz w:val="21"/>
                <w:szCs w:val="21"/>
                <w:highlight w:val="none"/>
                <w:lang w:eastAsia="zh-CN"/>
              </w:rPr>
            </w:pPr>
            <w:r>
              <w:rPr>
                <w:rFonts w:hint="eastAsia"/>
                <w:color w:val="auto"/>
                <w:sz w:val="21"/>
                <w:szCs w:val="21"/>
                <w:highlight w:val="none"/>
                <w:lang w:eastAsia="zh-CN"/>
              </w:rPr>
              <w:t>4、本招标文件的解释权归招标人所有。</w:t>
            </w:r>
          </w:p>
        </w:tc>
      </w:tr>
    </w:tbl>
    <w:p w14:paraId="20B05A38">
      <w:pPr>
        <w:rPr>
          <w:rFonts w:hint="eastAsia"/>
          <w:color w:val="auto"/>
          <w:highlight w:val="none"/>
          <w:lang w:eastAsia="zh-CN"/>
        </w:rPr>
      </w:pPr>
      <w:bookmarkStart w:id="30" w:name="_bookmark20"/>
      <w:bookmarkEnd w:id="30"/>
      <w:bookmarkStart w:id="31" w:name="_bookmark22"/>
      <w:bookmarkEnd w:id="31"/>
    </w:p>
    <w:p w14:paraId="3F45C7ED">
      <w:pPr>
        <w:widowControl/>
        <w:rPr>
          <w:rFonts w:hint="eastAsia"/>
          <w:b/>
          <w:bCs/>
          <w:color w:val="auto"/>
          <w:sz w:val="21"/>
          <w:szCs w:val="21"/>
          <w:highlight w:val="none"/>
          <w:lang w:eastAsia="zh-CN"/>
        </w:rPr>
      </w:pPr>
      <w:r>
        <w:rPr>
          <w:rFonts w:hint="eastAsia"/>
          <w:b/>
          <w:bCs/>
          <w:color w:val="auto"/>
          <w:sz w:val="21"/>
          <w:szCs w:val="21"/>
          <w:highlight w:val="none"/>
          <w:lang w:eastAsia="zh-CN"/>
        </w:rPr>
        <w:br w:type="page"/>
      </w:r>
    </w:p>
    <w:p w14:paraId="673CA9A6">
      <w:pPr>
        <w:adjustRightInd w:val="0"/>
        <w:snapToGrid w:val="0"/>
        <w:spacing w:line="440" w:lineRule="exact"/>
        <w:ind w:firstLine="422" w:firstLineChars="200"/>
        <w:outlineLvl w:val="1"/>
        <w:rPr>
          <w:rFonts w:hint="eastAsia"/>
          <w:b/>
          <w:bCs/>
          <w:color w:val="auto"/>
          <w:sz w:val="21"/>
          <w:szCs w:val="21"/>
          <w:highlight w:val="none"/>
          <w:lang w:eastAsia="zh-CN"/>
        </w:rPr>
      </w:pPr>
      <w:bookmarkStart w:id="32" w:name="_Toc16299"/>
      <w:r>
        <w:rPr>
          <w:rFonts w:hint="eastAsia"/>
          <w:b/>
          <w:bCs/>
          <w:color w:val="auto"/>
          <w:sz w:val="21"/>
          <w:szCs w:val="21"/>
          <w:highlight w:val="none"/>
          <w:lang w:eastAsia="zh-CN"/>
        </w:rPr>
        <w:t>1.总则</w:t>
      </w:r>
      <w:bookmarkEnd w:id="26"/>
      <w:bookmarkEnd w:id="32"/>
    </w:p>
    <w:p w14:paraId="340676E0">
      <w:pPr>
        <w:pStyle w:val="67"/>
        <w:adjustRightInd w:val="0"/>
        <w:snapToGrid w:val="0"/>
        <w:spacing w:line="440" w:lineRule="exact"/>
        <w:ind w:left="0" w:right="0" w:firstLine="422" w:firstLineChars="200"/>
        <w:outlineLvl w:val="9"/>
        <w:rPr>
          <w:rFonts w:hint="eastAsia"/>
          <w:b/>
          <w:color w:val="auto"/>
          <w:sz w:val="21"/>
          <w:szCs w:val="21"/>
          <w:highlight w:val="none"/>
          <w:lang w:eastAsia="zh-CN"/>
        </w:rPr>
      </w:pPr>
      <w:bookmarkStart w:id="33" w:name="_bookmark23"/>
      <w:bookmarkEnd w:id="33"/>
      <w:bookmarkStart w:id="34" w:name="_Toc65743885"/>
      <w:r>
        <w:rPr>
          <w:rFonts w:hint="eastAsia"/>
          <w:b/>
          <w:color w:val="auto"/>
          <w:sz w:val="21"/>
          <w:szCs w:val="21"/>
          <w:highlight w:val="none"/>
          <w:lang w:eastAsia="zh-CN"/>
        </w:rPr>
        <w:t>1.1招标项目概况</w:t>
      </w:r>
      <w:bookmarkEnd w:id="34"/>
    </w:p>
    <w:p w14:paraId="2AE3AA8F">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1.1.1根据《中华人民共和国招标投标法》、《中华人民共和国招标投标法实施条例》等有关法律、法规和规章的规定，本招标项目已具备招标条件，现对本项目进行招标。</w:t>
      </w:r>
    </w:p>
    <w:p w14:paraId="3E81DB8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1.1.2招标人：见投标人须知前附表。</w:t>
      </w:r>
    </w:p>
    <w:p w14:paraId="312D1D94">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1.1.3招标代理机构：见投标人须知前附表。</w:t>
      </w:r>
    </w:p>
    <w:p w14:paraId="455EAAF2">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1.1.4招标项目名称：见投标人须知前附表。</w:t>
      </w:r>
    </w:p>
    <w:p w14:paraId="7CE95F2A">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w:t>
      </w:r>
      <w:r>
        <w:rPr>
          <w:rFonts w:hint="eastAsia"/>
          <w:color w:val="auto"/>
          <w:highlight w:val="none"/>
          <w:lang w:val="en-US" w:eastAsia="zh-CN"/>
        </w:rPr>
        <w:t>5</w:t>
      </w:r>
      <w:r>
        <w:rPr>
          <w:rFonts w:hint="eastAsia"/>
          <w:color w:val="auto"/>
          <w:highlight w:val="none"/>
          <w:lang w:eastAsia="zh-CN"/>
        </w:rPr>
        <w:t>项目规模：见投标人须知前附表。</w:t>
      </w:r>
    </w:p>
    <w:p w14:paraId="134124F2">
      <w:pPr>
        <w:pStyle w:val="17"/>
        <w:adjustRightInd w:val="0"/>
        <w:snapToGrid w:val="0"/>
        <w:spacing w:line="440" w:lineRule="exact"/>
        <w:ind w:firstLine="422" w:firstLineChars="200"/>
        <w:rPr>
          <w:rFonts w:hint="eastAsia"/>
          <w:color w:val="auto"/>
          <w:highlight w:val="none"/>
          <w:lang w:eastAsia="zh-CN"/>
        </w:rPr>
      </w:pPr>
      <w:bookmarkStart w:id="35" w:name="_Toc65743886"/>
      <w:r>
        <w:rPr>
          <w:rFonts w:hint="eastAsia"/>
          <w:b/>
          <w:color w:val="auto"/>
          <w:highlight w:val="none"/>
          <w:lang w:eastAsia="zh-CN"/>
        </w:rPr>
        <w:t>1.2招标项目的资金来源和落实情况</w:t>
      </w:r>
      <w:bookmarkEnd w:id="35"/>
    </w:p>
    <w:p w14:paraId="3187813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1.2.1资金来源及比例：见投标人须知前附表。</w:t>
      </w:r>
    </w:p>
    <w:p w14:paraId="14784919">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1.2.2资金落实情况：见投标人须知前附表。</w:t>
      </w:r>
      <w:bookmarkStart w:id="36" w:name="_bookmark25"/>
      <w:bookmarkEnd w:id="36"/>
      <w:bookmarkStart w:id="37" w:name="_Toc65743887"/>
    </w:p>
    <w:p w14:paraId="755377CA">
      <w:pPr>
        <w:pStyle w:val="17"/>
        <w:adjustRightInd w:val="0"/>
        <w:snapToGrid w:val="0"/>
        <w:spacing w:line="440" w:lineRule="exact"/>
        <w:ind w:firstLine="422" w:firstLineChars="200"/>
        <w:rPr>
          <w:rFonts w:hint="eastAsia"/>
          <w:color w:val="auto"/>
          <w:highlight w:val="none"/>
          <w:lang w:eastAsia="zh-CN"/>
        </w:rPr>
      </w:pPr>
      <w:r>
        <w:rPr>
          <w:rFonts w:hint="eastAsia"/>
          <w:b/>
          <w:color w:val="auto"/>
          <w:highlight w:val="none"/>
          <w:lang w:eastAsia="zh-CN"/>
        </w:rPr>
        <w:t>1.3招标范围、服务期限、质量标准</w:t>
      </w:r>
      <w:bookmarkEnd w:id="37"/>
    </w:p>
    <w:p w14:paraId="26A11DA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1.3.1招标范围：见投标人须知前附表。</w:t>
      </w:r>
    </w:p>
    <w:p w14:paraId="1E63BF7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1.3.2服务期限：见投标人须知前附表。</w:t>
      </w:r>
    </w:p>
    <w:p w14:paraId="33A00F7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1.3.3质量标准：见投标人须知前附表。</w:t>
      </w:r>
    </w:p>
    <w:p w14:paraId="2DAC00BD">
      <w:pPr>
        <w:pStyle w:val="17"/>
        <w:adjustRightInd w:val="0"/>
        <w:snapToGrid w:val="0"/>
        <w:spacing w:line="440" w:lineRule="exact"/>
        <w:ind w:firstLine="422" w:firstLineChars="200"/>
        <w:rPr>
          <w:rFonts w:hint="eastAsia"/>
          <w:color w:val="auto"/>
          <w:highlight w:val="none"/>
          <w:lang w:eastAsia="zh-CN"/>
        </w:rPr>
      </w:pPr>
      <w:bookmarkStart w:id="38" w:name="_Toc65743888"/>
      <w:r>
        <w:rPr>
          <w:rFonts w:hint="eastAsia"/>
          <w:b/>
          <w:color w:val="auto"/>
          <w:highlight w:val="none"/>
          <w:lang w:eastAsia="zh-CN"/>
        </w:rPr>
        <w:t>1.4投标人资格要求</w:t>
      </w:r>
      <w:bookmarkEnd w:id="38"/>
    </w:p>
    <w:p w14:paraId="40201599">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1.4.1投标人应具备承担本招标项目资质条件、能力和信誉：</w:t>
      </w:r>
    </w:p>
    <w:p w14:paraId="081C9B70">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（1）资质要求：见投标人须知前附表；</w:t>
      </w:r>
    </w:p>
    <w:p w14:paraId="68639B67">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（2）财务要求：见投标人须知前附表；</w:t>
      </w:r>
    </w:p>
    <w:p w14:paraId="39910FD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（3）业绩要求：见投标人须知前附表；</w:t>
      </w:r>
    </w:p>
    <w:p w14:paraId="01FDD07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（4）信誉要求：见投标人须知前附表；</w:t>
      </w:r>
    </w:p>
    <w:p w14:paraId="637EF26D">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（5）项目负责人的资格要求：见投标人须知前附表；</w:t>
      </w:r>
    </w:p>
    <w:p w14:paraId="505FEC0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（6）其他主要人员要求：见投标人须知前附表。</w:t>
      </w:r>
    </w:p>
    <w:p w14:paraId="61BD640D">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（7）其他要求：见投标人须知前附表。需要提交的相关证明材料见本章第3.5款的规定。</w:t>
      </w:r>
    </w:p>
    <w:p w14:paraId="050FCF30">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1.4.2投标人须知前附表规定接受联合体投标的，联合体除应符合本章第1.4.1项和投标人须知前附表的要求外，还应遵守以下规定：</w:t>
      </w:r>
    </w:p>
    <w:p w14:paraId="4623AB6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（1）联合体各方应按招标文件提供的格式签订联合体协议书，明确联合体牵头人和各方权利义务，并承诺就中标项目向招标人承担连带责任；</w:t>
      </w:r>
    </w:p>
    <w:p w14:paraId="322170C6">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（2）由同一专业的单位组成的联合体，按照资质等级较低的单位确定资质等级；</w:t>
      </w:r>
    </w:p>
    <w:p w14:paraId="31B3A5FB">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（3）联合体各方不得再以自己名义单独或参加其他联合体在本招标项目中投标，否则各相关投标均无效。</w:t>
      </w:r>
    </w:p>
    <w:p w14:paraId="33160659">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1.4.3投标人不得存在下列情形之一：</w:t>
      </w:r>
    </w:p>
    <w:p w14:paraId="524F74A7">
      <w:pPr>
        <w:adjustRightInd w:val="0"/>
        <w:snapToGrid w:val="0"/>
        <w:spacing w:line="440" w:lineRule="exact"/>
        <w:ind w:firstLine="420" w:firstLineChars="200"/>
        <w:rPr>
          <w:rFonts w:hint="eastAsia"/>
          <w:color w:val="auto"/>
          <w:kern w:val="2"/>
          <w:sz w:val="21"/>
          <w:szCs w:val="21"/>
          <w:highlight w:val="none"/>
          <w:lang w:eastAsia="zh-CN"/>
        </w:rPr>
      </w:pPr>
      <w:bookmarkStart w:id="39" w:name="_Toc65743889"/>
      <w:r>
        <w:rPr>
          <w:rFonts w:hint="eastAsia"/>
          <w:color w:val="auto"/>
          <w:kern w:val="2"/>
          <w:sz w:val="21"/>
          <w:szCs w:val="21"/>
          <w:highlight w:val="none"/>
          <w:lang w:eastAsia="zh-CN"/>
        </w:rPr>
        <w:t>（1）为招标人不具有独立法人资格的附属机构（单位）；</w:t>
      </w:r>
    </w:p>
    <w:p w14:paraId="1E8AD34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（2）为本招标项目提供招标代理服务的；</w:t>
      </w:r>
    </w:p>
    <w:p w14:paraId="0AF317E9">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（3）与本招标项目的招标代理机构同为</w:t>
      </w:r>
      <w:r>
        <w:rPr>
          <w:rFonts w:hint="eastAsia"/>
          <w:b w:val="0"/>
          <w:bCs w:val="0"/>
          <w:color w:val="auto"/>
          <w:kern w:val="2"/>
          <w:sz w:val="21"/>
          <w:szCs w:val="21"/>
          <w:highlight w:val="none"/>
          <w:lang w:eastAsia="zh-CN"/>
        </w:rPr>
        <w:t>一个法定代表人（</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b w:val="0"/>
          <w:bCs w:val="0"/>
          <w:color w:val="auto"/>
          <w:kern w:val="2"/>
          <w:sz w:val="21"/>
          <w:szCs w:val="21"/>
          <w:highlight w:val="none"/>
          <w:lang w:eastAsia="zh-CN"/>
        </w:rPr>
        <w:t>的，</w:t>
      </w:r>
      <w:r>
        <w:rPr>
          <w:rFonts w:hint="eastAsia"/>
          <w:color w:val="auto"/>
          <w:kern w:val="2"/>
          <w:sz w:val="21"/>
          <w:szCs w:val="21"/>
          <w:highlight w:val="none"/>
          <w:lang w:eastAsia="zh-CN"/>
        </w:rPr>
        <w:t>或者相互控股、参股的；</w:t>
      </w:r>
    </w:p>
    <w:p w14:paraId="33238695">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（4）与招标人存在利害关系可能影响招标公正性的；</w:t>
      </w:r>
    </w:p>
    <w:p w14:paraId="7A9B0E9C">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（5）单位负责人为同一人或者存在控股、管理关系的不同单位；</w:t>
      </w:r>
    </w:p>
    <w:p w14:paraId="2198888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（6）处于被责令停业、财产被接管、冻结和破产状态，以及投标资格被取消或者被暂停且在暂停期内；</w:t>
      </w:r>
    </w:p>
    <w:p w14:paraId="77C3571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w:t>
      </w:r>
      <w:r>
        <w:rPr>
          <w:rFonts w:hint="eastAsia"/>
          <w:color w:val="auto"/>
          <w:kern w:val="2"/>
          <w:sz w:val="21"/>
          <w:szCs w:val="21"/>
          <w:highlight w:val="none"/>
          <w:lang w:val="en-US" w:eastAsia="zh-CN"/>
        </w:rPr>
        <w:t>7</w:t>
      </w:r>
      <w:r>
        <w:rPr>
          <w:rFonts w:hint="eastAsia"/>
          <w:color w:val="auto"/>
          <w:kern w:val="2"/>
          <w:sz w:val="21"/>
          <w:szCs w:val="21"/>
          <w:highlight w:val="none"/>
          <w:lang w:eastAsia="zh-CN"/>
        </w:rPr>
        <w:t>）法律法规规定的其他情形。</w:t>
      </w:r>
    </w:p>
    <w:p w14:paraId="55C6FCF9">
      <w:pPr>
        <w:pStyle w:val="17"/>
        <w:adjustRightInd w:val="0"/>
        <w:snapToGrid w:val="0"/>
        <w:spacing w:line="440" w:lineRule="exact"/>
        <w:ind w:firstLine="422" w:firstLineChars="200"/>
        <w:rPr>
          <w:rFonts w:hint="eastAsia"/>
          <w:color w:val="auto"/>
          <w:highlight w:val="none"/>
          <w:lang w:eastAsia="zh-CN"/>
        </w:rPr>
      </w:pPr>
      <w:r>
        <w:rPr>
          <w:rFonts w:hint="eastAsia"/>
          <w:b/>
          <w:color w:val="auto"/>
          <w:highlight w:val="none"/>
          <w:lang w:eastAsia="zh-CN"/>
        </w:rPr>
        <w:t>1.5费用承担</w:t>
      </w:r>
      <w:bookmarkEnd w:id="39"/>
    </w:p>
    <w:p w14:paraId="54040C8D">
      <w:pPr>
        <w:pStyle w:val="17"/>
        <w:adjustRightInd w:val="0"/>
        <w:snapToGrid w:val="0"/>
        <w:spacing w:line="440" w:lineRule="exact"/>
        <w:ind w:firstLine="420" w:firstLineChars="200"/>
        <w:rPr>
          <w:rFonts w:hint="eastAsia"/>
          <w:color w:val="auto"/>
          <w:highlight w:val="none"/>
          <w:lang w:eastAsia="zh-CN"/>
        </w:rPr>
      </w:pPr>
      <w:bookmarkStart w:id="40" w:name="_Toc65743890"/>
      <w:r>
        <w:rPr>
          <w:rFonts w:hint="eastAsia"/>
          <w:color w:val="auto"/>
          <w:highlight w:val="none"/>
          <w:lang w:eastAsia="zh-CN"/>
        </w:rPr>
        <w:t>投标人准备和参加投标活动发生的费用自理。</w:t>
      </w:r>
    </w:p>
    <w:p w14:paraId="40EAFF14">
      <w:pPr>
        <w:pStyle w:val="17"/>
        <w:adjustRightInd w:val="0"/>
        <w:snapToGrid w:val="0"/>
        <w:spacing w:line="440" w:lineRule="exact"/>
        <w:ind w:firstLine="422" w:firstLineChars="200"/>
        <w:rPr>
          <w:rFonts w:hint="eastAsia"/>
          <w:color w:val="auto"/>
          <w:highlight w:val="none"/>
          <w:lang w:eastAsia="zh-CN"/>
        </w:rPr>
      </w:pPr>
      <w:r>
        <w:rPr>
          <w:rFonts w:hint="eastAsia"/>
          <w:b/>
          <w:color w:val="auto"/>
          <w:highlight w:val="none"/>
          <w:lang w:eastAsia="zh-CN"/>
        </w:rPr>
        <w:t>1.6保密</w:t>
      </w:r>
      <w:bookmarkEnd w:id="40"/>
    </w:p>
    <w:p w14:paraId="2B06F5C6">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参与招标投标活动的各方应对招标文件和投标文件中的商业和技术等秘密保密，否则应承担相应的法律责任。</w:t>
      </w:r>
    </w:p>
    <w:p w14:paraId="7D4C4147">
      <w:pPr>
        <w:pStyle w:val="67"/>
        <w:adjustRightInd w:val="0"/>
        <w:snapToGrid w:val="0"/>
        <w:spacing w:line="440" w:lineRule="exact"/>
        <w:ind w:left="0" w:right="0" w:firstLine="422" w:firstLineChars="200"/>
        <w:outlineLvl w:val="9"/>
        <w:rPr>
          <w:rFonts w:hint="eastAsia"/>
          <w:b/>
          <w:color w:val="auto"/>
          <w:sz w:val="21"/>
          <w:szCs w:val="21"/>
          <w:highlight w:val="none"/>
          <w:lang w:eastAsia="zh-CN"/>
        </w:rPr>
      </w:pPr>
      <w:bookmarkStart w:id="41" w:name="_Toc65743891"/>
      <w:r>
        <w:rPr>
          <w:rFonts w:hint="eastAsia"/>
          <w:b/>
          <w:color w:val="auto"/>
          <w:sz w:val="21"/>
          <w:szCs w:val="21"/>
          <w:highlight w:val="none"/>
          <w:lang w:eastAsia="zh-CN"/>
        </w:rPr>
        <w:t>1.7语言文字</w:t>
      </w:r>
      <w:bookmarkEnd w:id="41"/>
    </w:p>
    <w:p w14:paraId="03FFF782">
      <w:pPr>
        <w:pStyle w:val="67"/>
        <w:adjustRightInd w:val="0"/>
        <w:snapToGrid w:val="0"/>
        <w:spacing w:line="440" w:lineRule="exact"/>
        <w:ind w:left="0" w:right="0" w:firstLine="420" w:firstLineChars="200"/>
        <w:outlineLvl w:val="9"/>
        <w:rPr>
          <w:rFonts w:hint="eastAsia"/>
          <w:color w:val="auto"/>
          <w:sz w:val="21"/>
          <w:szCs w:val="21"/>
          <w:highlight w:val="none"/>
          <w:lang w:eastAsia="zh-CN"/>
        </w:rPr>
      </w:pPr>
      <w:r>
        <w:rPr>
          <w:rFonts w:hint="eastAsia"/>
          <w:color w:val="auto"/>
          <w:sz w:val="21"/>
          <w:szCs w:val="21"/>
          <w:highlight w:val="none"/>
          <w:lang w:eastAsia="zh-CN"/>
        </w:rPr>
        <w:t>招标投</w:t>
      </w:r>
      <w:bookmarkStart w:id="42" w:name="_Toc65743892"/>
      <w:r>
        <w:rPr>
          <w:rFonts w:hint="eastAsia"/>
          <w:color w:val="auto"/>
          <w:sz w:val="21"/>
          <w:szCs w:val="21"/>
          <w:highlight w:val="none"/>
          <w:lang w:eastAsia="zh-CN"/>
        </w:rPr>
        <w:t>标文件使用的语言文字为中文。专用术语使用外文的，应附有中文注释。</w:t>
      </w:r>
    </w:p>
    <w:p w14:paraId="35B8A26C">
      <w:pPr>
        <w:pStyle w:val="67"/>
        <w:adjustRightInd w:val="0"/>
        <w:snapToGrid w:val="0"/>
        <w:spacing w:line="440" w:lineRule="exact"/>
        <w:ind w:left="0" w:right="0" w:firstLine="422" w:firstLineChars="200"/>
        <w:outlineLvl w:val="9"/>
        <w:rPr>
          <w:rFonts w:hint="eastAsia"/>
          <w:b/>
          <w:color w:val="auto"/>
          <w:sz w:val="21"/>
          <w:szCs w:val="21"/>
          <w:highlight w:val="none"/>
          <w:lang w:eastAsia="zh-CN"/>
        </w:rPr>
      </w:pPr>
      <w:r>
        <w:rPr>
          <w:rFonts w:hint="eastAsia"/>
          <w:b/>
          <w:color w:val="auto"/>
          <w:sz w:val="21"/>
          <w:szCs w:val="21"/>
          <w:highlight w:val="none"/>
          <w:lang w:eastAsia="zh-CN"/>
        </w:rPr>
        <w:t>1.8计量单位</w:t>
      </w:r>
      <w:bookmarkEnd w:id="42"/>
    </w:p>
    <w:p w14:paraId="63D0226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所有计量均采用中华人民共和国法定计量单位。</w:t>
      </w:r>
    </w:p>
    <w:p w14:paraId="241AD2A0">
      <w:pPr>
        <w:pStyle w:val="67"/>
        <w:adjustRightInd w:val="0"/>
        <w:snapToGrid w:val="0"/>
        <w:spacing w:line="440" w:lineRule="exact"/>
        <w:ind w:left="0" w:right="0" w:firstLine="422" w:firstLineChars="200"/>
        <w:outlineLvl w:val="9"/>
        <w:rPr>
          <w:rFonts w:hint="eastAsia"/>
          <w:b/>
          <w:color w:val="auto"/>
          <w:sz w:val="21"/>
          <w:szCs w:val="21"/>
          <w:highlight w:val="none"/>
          <w:lang w:eastAsia="zh-CN"/>
        </w:rPr>
      </w:pPr>
      <w:bookmarkStart w:id="43" w:name="_Toc65743893"/>
      <w:r>
        <w:rPr>
          <w:rFonts w:hint="eastAsia"/>
          <w:b/>
          <w:color w:val="auto"/>
          <w:sz w:val="21"/>
          <w:szCs w:val="21"/>
          <w:highlight w:val="none"/>
          <w:lang w:eastAsia="zh-CN"/>
        </w:rPr>
        <w:t>1.9踏勘现场</w:t>
      </w:r>
      <w:bookmarkEnd w:id="43"/>
    </w:p>
    <w:p w14:paraId="225CB92C">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14:paraId="7DCAA87C">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1.9.2投标人踏勘现场发生的费用自理。</w:t>
      </w:r>
    </w:p>
    <w:p w14:paraId="33CAD82C">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1.9.3除招标人的原因外，投标人自行负责在踏勘现场中所发生的人员伤亡和财产损失。</w:t>
      </w:r>
    </w:p>
    <w:p w14:paraId="0BE975BC">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1.9.4招标人在踏勘现场中介绍的项目情况，供投标人在编制投标文件时参考，招标人不对投标人据此作出的判断和决策负责。</w:t>
      </w:r>
      <w:bookmarkStart w:id="44" w:name="_Toc65743894"/>
    </w:p>
    <w:p w14:paraId="373D961C">
      <w:pPr>
        <w:pStyle w:val="17"/>
        <w:adjustRightInd w:val="0"/>
        <w:snapToGrid w:val="0"/>
        <w:spacing w:line="440" w:lineRule="exact"/>
        <w:ind w:firstLine="422" w:firstLineChars="200"/>
        <w:rPr>
          <w:rFonts w:hint="eastAsia"/>
          <w:color w:val="auto"/>
          <w:highlight w:val="none"/>
          <w:lang w:eastAsia="zh-CN"/>
        </w:rPr>
      </w:pPr>
      <w:r>
        <w:rPr>
          <w:rFonts w:hint="eastAsia"/>
          <w:b/>
          <w:color w:val="auto"/>
          <w:highlight w:val="none"/>
          <w:lang w:eastAsia="zh-CN"/>
        </w:rPr>
        <w:t>1.10投标预备会</w:t>
      </w:r>
      <w:bookmarkEnd w:id="44"/>
    </w:p>
    <w:p w14:paraId="27976A1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1.10.1投标人须知前附表规定召开投标预备会的，招标人按投标人须知前附表规定的时间和地点召开投标预备会，澄清投标人提出的问题。</w:t>
      </w:r>
    </w:p>
    <w:p w14:paraId="500120F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1.10.2投标人应按投标人须知前附表规定的时间和形式将提出的问题送达招标人，以便招标人在会议期间澄清。</w:t>
      </w:r>
    </w:p>
    <w:p w14:paraId="064DD63A">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1.10.3投标预备会后，招标人将对投标人所提问题的澄清，以投标人须知前附表规定的形式通知所有购买招标文件的投标人。该澄清内容为招标文件的组成部分。</w:t>
      </w:r>
    </w:p>
    <w:p w14:paraId="7CB307D2">
      <w:pPr>
        <w:pStyle w:val="67"/>
        <w:adjustRightInd w:val="0"/>
        <w:snapToGrid w:val="0"/>
        <w:spacing w:line="440" w:lineRule="exact"/>
        <w:ind w:left="0" w:right="0" w:firstLine="422" w:firstLineChars="200"/>
        <w:outlineLvl w:val="9"/>
        <w:rPr>
          <w:rFonts w:hint="eastAsia"/>
          <w:b/>
          <w:color w:val="auto"/>
          <w:sz w:val="21"/>
          <w:szCs w:val="21"/>
          <w:highlight w:val="none"/>
          <w:lang w:eastAsia="zh-CN"/>
        </w:rPr>
      </w:pPr>
      <w:bookmarkStart w:id="45" w:name="_Toc65743895"/>
      <w:r>
        <w:rPr>
          <w:rFonts w:hint="eastAsia"/>
          <w:b/>
          <w:color w:val="auto"/>
          <w:sz w:val="21"/>
          <w:szCs w:val="21"/>
          <w:highlight w:val="none"/>
          <w:lang w:eastAsia="zh-CN"/>
        </w:rPr>
        <w:t>1.11分包</w:t>
      </w:r>
      <w:bookmarkEnd w:id="45"/>
    </w:p>
    <w:p w14:paraId="77D2EB9D">
      <w:pPr>
        <w:pStyle w:val="67"/>
        <w:adjustRightInd w:val="0"/>
        <w:snapToGrid w:val="0"/>
        <w:spacing w:line="440" w:lineRule="exact"/>
        <w:ind w:left="0" w:right="0" w:firstLine="420" w:firstLineChars="200"/>
        <w:outlineLvl w:val="9"/>
        <w:rPr>
          <w:rFonts w:hint="eastAsia"/>
          <w:b/>
          <w:color w:val="auto"/>
          <w:sz w:val="21"/>
          <w:szCs w:val="21"/>
          <w:highlight w:val="none"/>
          <w:lang w:eastAsia="zh-CN"/>
        </w:rPr>
      </w:pPr>
      <w:r>
        <w:rPr>
          <w:rFonts w:hint="eastAsia"/>
          <w:color w:val="auto"/>
          <w:sz w:val="21"/>
          <w:szCs w:val="21"/>
          <w:highlight w:val="none"/>
          <w:lang w:eastAsia="zh-CN"/>
        </w:rPr>
        <w:t>1.11.1在中标人资质范围内的招标内容原则上不允许分包。</w:t>
      </w:r>
    </w:p>
    <w:p w14:paraId="0DEFAAC6">
      <w:pPr>
        <w:pStyle w:val="17"/>
        <w:adjustRightInd w:val="0"/>
        <w:snapToGrid w:val="0"/>
        <w:spacing w:line="440" w:lineRule="exact"/>
        <w:ind w:firstLine="422" w:firstLineChars="200"/>
        <w:rPr>
          <w:rFonts w:hint="eastAsia"/>
          <w:color w:val="auto"/>
          <w:highlight w:val="none"/>
          <w:lang w:eastAsia="zh-CN"/>
        </w:rPr>
      </w:pPr>
      <w:bookmarkStart w:id="46" w:name="_Toc65743896"/>
      <w:r>
        <w:rPr>
          <w:rFonts w:hint="eastAsia"/>
          <w:b/>
          <w:color w:val="auto"/>
          <w:highlight w:val="none"/>
          <w:lang w:eastAsia="zh-CN"/>
        </w:rPr>
        <w:t>1.12响应和偏差</w:t>
      </w:r>
      <w:bookmarkEnd w:id="46"/>
    </w:p>
    <w:p w14:paraId="16607B0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1.12.1投标文件应当对招标文件的实质性要求和条件作出满足性或更有利于招标人的响应，否则，投标人的投标将被否决。</w:t>
      </w:r>
    </w:p>
    <w:p w14:paraId="1DB9F59F">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1.12.2投标人应根据招标文件的要求提供相应证明材料以对招标文件作出响应。</w:t>
      </w:r>
    </w:p>
    <w:p w14:paraId="370E3AA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1.12.3投标人须知前附表允许投标文件偏离招标文件某些要求的，偏差应当符合招标文件规定的偏差范围和幅度。</w:t>
      </w:r>
      <w:bookmarkStart w:id="47" w:name="_bookmark35"/>
      <w:bookmarkEnd w:id="47"/>
      <w:bookmarkStart w:id="48" w:name="_Toc65743897"/>
    </w:p>
    <w:p w14:paraId="6408CF18">
      <w:pPr>
        <w:adjustRightInd w:val="0"/>
        <w:snapToGrid w:val="0"/>
        <w:spacing w:line="440" w:lineRule="exact"/>
        <w:ind w:firstLine="422" w:firstLineChars="200"/>
        <w:outlineLvl w:val="1"/>
        <w:rPr>
          <w:rFonts w:hint="eastAsia"/>
          <w:b/>
          <w:bCs/>
          <w:color w:val="auto"/>
          <w:sz w:val="21"/>
          <w:szCs w:val="21"/>
          <w:highlight w:val="none"/>
          <w:lang w:eastAsia="zh-CN"/>
        </w:rPr>
      </w:pPr>
      <w:bookmarkStart w:id="49" w:name="_Toc29407"/>
      <w:r>
        <w:rPr>
          <w:rFonts w:hint="eastAsia"/>
          <w:b/>
          <w:bCs/>
          <w:color w:val="auto"/>
          <w:sz w:val="21"/>
          <w:szCs w:val="21"/>
          <w:highlight w:val="none"/>
          <w:lang w:eastAsia="zh-CN"/>
        </w:rPr>
        <w:t>2.招标文件</w:t>
      </w:r>
      <w:bookmarkEnd w:id="48"/>
      <w:bookmarkEnd w:id="49"/>
      <w:bookmarkStart w:id="50" w:name="_bookmark36"/>
      <w:bookmarkEnd w:id="50"/>
      <w:bookmarkStart w:id="51" w:name="_Toc65743898"/>
    </w:p>
    <w:p w14:paraId="14F4A84F">
      <w:pPr>
        <w:pStyle w:val="17"/>
        <w:adjustRightInd w:val="0"/>
        <w:snapToGrid w:val="0"/>
        <w:spacing w:line="440" w:lineRule="exact"/>
        <w:ind w:firstLine="422" w:firstLineChars="200"/>
        <w:rPr>
          <w:rFonts w:hint="eastAsia"/>
          <w:b/>
          <w:color w:val="auto"/>
          <w:highlight w:val="none"/>
          <w:lang w:eastAsia="zh-CN"/>
        </w:rPr>
      </w:pPr>
      <w:r>
        <w:rPr>
          <w:rFonts w:hint="eastAsia"/>
          <w:b/>
          <w:color w:val="auto"/>
          <w:highlight w:val="none"/>
          <w:lang w:eastAsia="zh-CN"/>
        </w:rPr>
        <w:t>2.1招标文件的组成</w:t>
      </w:r>
      <w:bookmarkEnd w:id="51"/>
    </w:p>
    <w:p w14:paraId="0C674A87">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本招标文件包括：</w:t>
      </w:r>
    </w:p>
    <w:p w14:paraId="52FFBD4F">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（1）招标公告；</w:t>
      </w:r>
    </w:p>
    <w:p w14:paraId="738A46FD">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（2）投标人须知；</w:t>
      </w:r>
    </w:p>
    <w:p w14:paraId="7B26660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（3）评标办法；</w:t>
      </w:r>
    </w:p>
    <w:p w14:paraId="14D85CB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（4）合同条款及格式；</w:t>
      </w:r>
    </w:p>
    <w:p w14:paraId="48FEF03B">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（5）投标文件格式；</w:t>
      </w:r>
    </w:p>
    <w:p w14:paraId="60067AE5">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（6）投标人须知前附表规定的其他资料。</w:t>
      </w:r>
      <w:bookmarkStart w:id="52" w:name="_Toc65743901"/>
    </w:p>
    <w:p w14:paraId="02004D8F">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2.1.2根据本章第2.2款、第2.3款对招标文件所作的澄清、修改，构成招标文件的组成部分。当招标文件相互之间发生矛盾时，以后发出的文件为准。</w:t>
      </w:r>
    </w:p>
    <w:p w14:paraId="37003090">
      <w:pPr>
        <w:tabs>
          <w:tab w:val="left" w:pos="1440"/>
        </w:tabs>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2.2招标文件的澄清及修改</w:t>
      </w:r>
    </w:p>
    <w:p w14:paraId="1A4AF2A2">
      <w:pPr>
        <w:pStyle w:val="17"/>
        <w:adjustRightInd w:val="0"/>
        <w:snapToGrid w:val="0"/>
        <w:spacing w:line="440" w:lineRule="exact"/>
        <w:ind w:firstLine="420" w:firstLineChars="200"/>
        <w:rPr>
          <w:rFonts w:hint="eastAsia"/>
          <w:color w:val="auto"/>
          <w:highlight w:val="none"/>
          <w:lang w:eastAsia="zh-CN"/>
        </w:rPr>
      </w:pPr>
      <w:bookmarkStart w:id="53" w:name="_Toc247513969"/>
      <w:bookmarkStart w:id="54" w:name="_Toc152042321"/>
      <w:bookmarkStart w:id="55" w:name="_Toc144974513"/>
      <w:bookmarkStart w:id="56" w:name="_Toc152045545"/>
      <w:bookmarkStart w:id="57" w:name="_Toc247527570"/>
      <w:bookmarkStart w:id="58" w:name="_Toc300834966"/>
      <w:r>
        <w:rPr>
          <w:rFonts w:hint="eastAsia"/>
          <w:color w:val="auto"/>
          <w:highlight w:val="none"/>
          <w:lang w:eastAsia="zh-CN"/>
        </w:rPr>
        <w:t>2.2.1投标人获取招标文件后，应仔细阅读招标文件的全部内容。如有疑问，应在规定时间内向招标人提出，以便澄清。</w:t>
      </w:r>
    </w:p>
    <w:p w14:paraId="6AEECD2E">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2.2.2疑问送达时间：</w:t>
      </w:r>
      <w:r>
        <w:rPr>
          <w:rFonts w:hint="eastAsia"/>
          <w:color w:val="auto"/>
          <w:highlight w:val="none"/>
          <w:u w:val="single"/>
          <w:lang w:eastAsia="zh-CN"/>
        </w:rPr>
        <w:t>投标截止时间三日</w:t>
      </w:r>
      <w:r>
        <w:rPr>
          <w:rFonts w:hint="eastAsia"/>
          <w:color w:val="auto"/>
          <w:highlight w:val="none"/>
          <w:lang w:eastAsia="zh-CN"/>
        </w:rPr>
        <w:t>前。</w:t>
      </w:r>
    </w:p>
    <w:p w14:paraId="42C4E361">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2.2.3疑问送达地点：投标人获取招标文件后，如有疑问需要澄清，应以书面形式将投标疑问加盖投标人公章后送至江苏天翔工程项目管理有限公司招标代理部（或以原件扫描件的形式发送至代理机构邮箱</w:t>
      </w:r>
      <w:r>
        <w:rPr>
          <w:color w:val="auto"/>
          <w:highlight w:val="none"/>
        </w:rPr>
        <w:fldChar w:fldCharType="begin"/>
      </w:r>
      <w:r>
        <w:rPr>
          <w:color w:val="auto"/>
          <w:highlight w:val="none"/>
        </w:rPr>
        <w:instrText xml:space="preserve"> HYPERLINK "mailto:164847790@qq.com" </w:instrText>
      </w:r>
      <w:r>
        <w:rPr>
          <w:color w:val="auto"/>
          <w:highlight w:val="none"/>
        </w:rPr>
        <w:fldChar w:fldCharType="separate"/>
      </w:r>
      <w:r>
        <w:rPr>
          <w:rStyle w:val="55"/>
          <w:rFonts w:hint="eastAsia"/>
          <w:b/>
          <w:color w:val="auto"/>
          <w:highlight w:val="none"/>
          <w:lang w:eastAsia="zh-CN"/>
        </w:rPr>
        <w:t>676881966@qq.com</w:t>
      </w:r>
      <w:r>
        <w:rPr>
          <w:rStyle w:val="55"/>
          <w:rFonts w:hint="eastAsia"/>
          <w:b/>
          <w:color w:val="auto"/>
          <w:highlight w:val="none"/>
          <w:lang w:eastAsia="zh-CN"/>
        </w:rPr>
        <w:fldChar w:fldCharType="end"/>
      </w:r>
      <w:r>
        <w:rPr>
          <w:rFonts w:hint="eastAsia"/>
          <w:b/>
          <w:color w:val="auto"/>
          <w:highlight w:val="none"/>
        </w:rPr>
        <w:t>，同时必须电话告知，否则视为无疑问</w:t>
      </w:r>
      <w:r>
        <w:rPr>
          <w:rFonts w:hint="eastAsia"/>
          <w:color w:val="auto"/>
          <w:highlight w:val="none"/>
          <w:lang w:eastAsia="zh-CN"/>
        </w:rPr>
        <w:t>）。如在规定期限内未报送疑问或未按规定报送投标疑问的，则视为该投标人无疑问。</w:t>
      </w:r>
    </w:p>
    <w:p w14:paraId="07CE70D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2.2.4答疑文件发布时间：</w:t>
      </w:r>
      <w:r>
        <w:rPr>
          <w:rFonts w:hint="eastAsia"/>
          <w:color w:val="auto"/>
          <w:highlight w:val="none"/>
          <w:u w:val="single"/>
          <w:lang w:eastAsia="zh-CN"/>
        </w:rPr>
        <w:t>投标截止时间3日前，不足</w:t>
      </w:r>
      <w:r>
        <w:rPr>
          <w:color w:val="auto"/>
          <w:highlight w:val="none"/>
          <w:u w:val="single"/>
          <w:lang w:eastAsia="zh-CN"/>
        </w:rPr>
        <w:t>3日</w:t>
      </w:r>
      <w:r>
        <w:rPr>
          <w:rFonts w:hint="eastAsia"/>
          <w:color w:val="auto"/>
          <w:highlight w:val="none"/>
          <w:u w:val="single"/>
          <w:lang w:eastAsia="zh-CN"/>
        </w:rPr>
        <w:t>且影响投标文件编制</w:t>
      </w:r>
      <w:r>
        <w:rPr>
          <w:color w:val="auto"/>
          <w:highlight w:val="none"/>
          <w:u w:val="single"/>
          <w:lang w:eastAsia="zh-CN"/>
        </w:rPr>
        <w:t>的，招标人</w:t>
      </w:r>
      <w:r>
        <w:rPr>
          <w:rFonts w:hint="eastAsia"/>
          <w:color w:val="auto"/>
          <w:highlight w:val="none"/>
          <w:u w:val="single"/>
          <w:lang w:eastAsia="zh-CN"/>
        </w:rPr>
        <w:t>将</w:t>
      </w:r>
      <w:r>
        <w:rPr>
          <w:color w:val="auto"/>
          <w:highlight w:val="none"/>
          <w:u w:val="single"/>
          <w:lang w:eastAsia="zh-CN"/>
        </w:rPr>
        <w:t>顺延提交投标文件的截止时间</w:t>
      </w:r>
      <w:r>
        <w:rPr>
          <w:rFonts w:hint="eastAsia"/>
          <w:color w:val="auto"/>
          <w:highlight w:val="none"/>
          <w:lang w:eastAsia="zh-CN"/>
        </w:rPr>
        <w:t>。</w:t>
      </w:r>
    </w:p>
    <w:p w14:paraId="1B89E95B">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2.2.5答疑文件发布地点：</w:t>
      </w:r>
      <w:r>
        <w:rPr>
          <w:rFonts w:hint="eastAsia"/>
          <w:color w:val="auto"/>
          <w:highlight w:val="none"/>
          <w:u w:val="single"/>
          <w:lang w:eastAsia="zh-CN"/>
        </w:rPr>
        <w:t>盐城东方集团网（</w:t>
      </w:r>
      <w:r>
        <w:rPr>
          <w:color w:val="auto"/>
          <w:highlight w:val="none"/>
          <w:u w:val="single"/>
          <w:lang w:eastAsia="zh-CN"/>
        </w:rPr>
        <w:t>http://www.ycdfjt.com/）</w:t>
      </w:r>
      <w:r>
        <w:rPr>
          <w:rFonts w:hint="eastAsia"/>
          <w:color w:val="auto"/>
          <w:highlight w:val="none"/>
          <w:u w:val="single"/>
          <w:lang w:eastAsia="zh-CN"/>
        </w:rPr>
        <w:t>，各投标人在投标截止时间前须自行上网查看，否则，由此引起的投标损失自负。</w:t>
      </w:r>
    </w:p>
    <w:p w14:paraId="1EA0C22E">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2.2.6招标答疑文件视为招标文件的组成部分，对投标人起约束作用。招标答疑文件如与原招标文件不符，以最新的修改答疑文件为准。</w:t>
      </w:r>
    </w:p>
    <w:p w14:paraId="39C4A9A1">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2.2.7为使投标人在编写投标文件时有充分时间对招标文件的答疑部分进行研究，招标人可以酌情延长递交投标文件的截止日期，具体时间将在招标文件的答疑中明确。</w:t>
      </w:r>
    </w:p>
    <w:p w14:paraId="76676DC3">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2.2.8当招标文件、招标文件的答疑内容相互矛盾时，若无其他特别说明一般均以后发出的文件为准。</w:t>
      </w:r>
    </w:p>
    <w:bookmarkEnd w:id="53"/>
    <w:bookmarkEnd w:id="54"/>
    <w:bookmarkEnd w:id="55"/>
    <w:bookmarkEnd w:id="56"/>
    <w:bookmarkEnd w:id="57"/>
    <w:bookmarkEnd w:id="58"/>
    <w:p w14:paraId="2D4AE8B4">
      <w:pPr>
        <w:pStyle w:val="17"/>
        <w:adjustRightInd w:val="0"/>
        <w:snapToGrid w:val="0"/>
        <w:spacing w:line="440" w:lineRule="exact"/>
        <w:ind w:firstLine="422" w:firstLineChars="200"/>
        <w:rPr>
          <w:rFonts w:hint="eastAsia"/>
          <w:color w:val="auto"/>
          <w:highlight w:val="none"/>
          <w:lang w:eastAsia="zh-CN"/>
        </w:rPr>
      </w:pPr>
      <w:r>
        <w:rPr>
          <w:rFonts w:hint="eastAsia"/>
          <w:b/>
          <w:color w:val="auto"/>
          <w:highlight w:val="none"/>
          <w:lang w:eastAsia="zh-CN"/>
        </w:rPr>
        <w:t>2.3招标文件的异议</w:t>
      </w:r>
      <w:bookmarkEnd w:id="52"/>
    </w:p>
    <w:p w14:paraId="11BC9538">
      <w:pPr>
        <w:pStyle w:val="17"/>
        <w:adjustRightInd w:val="0"/>
        <w:snapToGrid w:val="0"/>
        <w:spacing w:line="440" w:lineRule="exact"/>
        <w:ind w:firstLine="420" w:firstLineChars="200"/>
        <w:rPr>
          <w:rFonts w:hint="eastAsia"/>
          <w:color w:val="auto"/>
          <w:highlight w:val="none"/>
          <w:lang w:eastAsia="zh-CN"/>
        </w:rPr>
      </w:pPr>
      <w:r>
        <w:rPr>
          <w:rFonts w:hint="eastAsia"/>
          <w:color w:val="auto"/>
          <w:highlight w:val="none"/>
          <w:lang w:eastAsia="zh-CN"/>
        </w:rPr>
        <w:t>投标人或者其他利害关系人对招标文件有异议的，应当在投标人须知前附表规定的时间内以书面形式提出。</w:t>
      </w:r>
    </w:p>
    <w:p w14:paraId="66E52ADE">
      <w:pPr>
        <w:adjustRightInd w:val="0"/>
        <w:snapToGrid w:val="0"/>
        <w:spacing w:line="440" w:lineRule="exact"/>
        <w:ind w:firstLine="422" w:firstLineChars="200"/>
        <w:outlineLvl w:val="1"/>
        <w:rPr>
          <w:rFonts w:hint="eastAsia"/>
          <w:b/>
          <w:bCs/>
          <w:color w:val="auto"/>
          <w:sz w:val="21"/>
          <w:szCs w:val="21"/>
          <w:highlight w:val="none"/>
          <w:lang w:eastAsia="zh-CN"/>
        </w:rPr>
      </w:pPr>
      <w:bookmarkStart w:id="59" w:name="_bookmark40"/>
      <w:bookmarkEnd w:id="59"/>
      <w:bookmarkStart w:id="60" w:name="_Toc27101"/>
      <w:bookmarkStart w:id="61" w:name="_Toc65743902"/>
      <w:r>
        <w:rPr>
          <w:rFonts w:hint="eastAsia"/>
          <w:b/>
          <w:bCs/>
          <w:color w:val="auto"/>
          <w:sz w:val="21"/>
          <w:szCs w:val="21"/>
          <w:highlight w:val="none"/>
          <w:lang w:eastAsia="zh-CN"/>
        </w:rPr>
        <w:t>3.投标文件</w:t>
      </w:r>
      <w:bookmarkEnd w:id="60"/>
      <w:bookmarkEnd w:id="61"/>
      <w:bookmarkStart w:id="62" w:name="_bookmark41"/>
      <w:bookmarkEnd w:id="62"/>
      <w:bookmarkStart w:id="63" w:name="_Toc65743903"/>
    </w:p>
    <w:p w14:paraId="6EB0D541">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3.1投标文件的组成</w:t>
      </w:r>
    </w:p>
    <w:p w14:paraId="4A2D6784">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投标人应认真仔细阅读招标文件的所有内容，未按招标文件的要求编制的投标文件将被拒绝。</w:t>
      </w:r>
    </w:p>
    <w:p w14:paraId="5FF43DC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3.1</w:t>
      </w:r>
      <w:r>
        <w:rPr>
          <w:rFonts w:hint="eastAsia"/>
          <w:b/>
          <w:color w:val="auto"/>
          <w:kern w:val="2"/>
          <w:sz w:val="21"/>
          <w:szCs w:val="21"/>
          <w:highlight w:val="none"/>
          <w:lang w:eastAsia="zh-CN"/>
        </w:rPr>
        <w:t>投标文件至少包含以下内容</w:t>
      </w:r>
      <w:r>
        <w:rPr>
          <w:rFonts w:hint="eastAsia"/>
          <w:color w:val="auto"/>
          <w:kern w:val="2"/>
          <w:sz w:val="21"/>
          <w:szCs w:val="21"/>
          <w:highlight w:val="none"/>
          <w:lang w:eastAsia="zh-CN"/>
        </w:rPr>
        <w:t>：</w:t>
      </w:r>
    </w:p>
    <w:p w14:paraId="70B69E6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（1）法定代表人身份证明</w:t>
      </w:r>
      <w:r>
        <w:rPr>
          <w:rFonts w:hint="eastAsia"/>
          <w:color w:val="auto"/>
          <w:kern w:val="2"/>
          <w:sz w:val="21"/>
          <w:szCs w:val="21"/>
          <w:highlight w:val="none"/>
          <w:lang w:val="en-US" w:eastAsia="zh-CN"/>
        </w:rPr>
        <w:t>或</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kern w:val="2"/>
          <w:sz w:val="21"/>
          <w:szCs w:val="21"/>
          <w:highlight w:val="none"/>
          <w:lang w:eastAsia="zh-CN"/>
        </w:rPr>
        <w:t>身份证明。</w:t>
      </w:r>
    </w:p>
    <w:p w14:paraId="782B0BEA">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（2）授权委托书（如有授权）。</w:t>
      </w:r>
    </w:p>
    <w:p w14:paraId="65E5526A">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（3）投标函（允许另附一个详细说明）。</w:t>
      </w:r>
    </w:p>
    <w:p w14:paraId="70751470">
      <w:pPr>
        <w:kinsoku w:val="0"/>
        <w:overflowPunct w:val="0"/>
        <w:autoSpaceDE w:val="0"/>
        <w:autoSpaceDN w:val="0"/>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（4）资格审查资料：</w:t>
      </w:r>
    </w:p>
    <w:p w14:paraId="18AB5935">
      <w:pPr>
        <w:kinsoku w:val="0"/>
        <w:overflowPunct w:val="0"/>
        <w:autoSpaceDE w:val="0"/>
        <w:autoSpaceDN w:val="0"/>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①投标人有效的营业执照复印件（加盖投标人公章）；</w:t>
      </w:r>
    </w:p>
    <w:p w14:paraId="6FC75B1B">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②投标人</w:t>
      </w:r>
      <w:r>
        <w:rPr>
          <w:rFonts w:hint="eastAsia"/>
          <w:color w:val="auto"/>
          <w:kern w:val="2"/>
          <w:sz w:val="21"/>
          <w:szCs w:val="21"/>
          <w:highlight w:val="none"/>
          <w:lang w:val="en-US" w:eastAsia="zh-CN"/>
        </w:rPr>
        <w:t>有效的</w:t>
      </w:r>
      <w:r>
        <w:rPr>
          <w:rFonts w:hint="eastAsia"/>
          <w:color w:val="auto"/>
          <w:kern w:val="2"/>
          <w:sz w:val="21"/>
          <w:szCs w:val="21"/>
          <w:highlight w:val="none"/>
          <w:lang w:eastAsia="zh-CN"/>
        </w:rPr>
        <w:t>资产评估机构备案证明复印件（加盖投标人公章）；</w:t>
      </w:r>
    </w:p>
    <w:p w14:paraId="34B932C9">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③项目负责人</w:t>
      </w:r>
      <w:r>
        <w:rPr>
          <w:rFonts w:hint="eastAsia"/>
          <w:color w:val="auto"/>
          <w:kern w:val="2"/>
          <w:sz w:val="21"/>
          <w:szCs w:val="21"/>
          <w:highlight w:val="none"/>
          <w:lang w:val="en-US" w:eastAsia="zh-CN"/>
        </w:rPr>
        <w:t>有效</w:t>
      </w:r>
      <w:r>
        <w:rPr>
          <w:rFonts w:hint="eastAsia"/>
          <w:color w:val="auto"/>
          <w:kern w:val="2"/>
          <w:sz w:val="21"/>
          <w:szCs w:val="21"/>
          <w:highlight w:val="none"/>
          <w:lang w:eastAsia="zh-CN"/>
        </w:rPr>
        <w:t>的</w:t>
      </w:r>
      <w:r>
        <w:rPr>
          <w:rFonts w:hint="eastAsia"/>
          <w:color w:val="auto"/>
          <w:highlight w:val="none"/>
          <w:lang w:eastAsia="zh-CN"/>
        </w:rPr>
        <w:t>资产评估师职业资格证书</w:t>
      </w:r>
      <w:r>
        <w:rPr>
          <w:rFonts w:hint="eastAsia"/>
          <w:color w:val="auto"/>
          <w:kern w:val="2"/>
          <w:sz w:val="21"/>
          <w:szCs w:val="21"/>
          <w:highlight w:val="none"/>
          <w:lang w:eastAsia="zh-CN"/>
        </w:rPr>
        <w:t>复印件（加盖投标人公章）。</w:t>
      </w:r>
    </w:p>
    <w:p w14:paraId="482050E9">
      <w:pPr>
        <w:adjustRightInd w:val="0"/>
        <w:snapToGrid w:val="0"/>
        <w:spacing w:line="440" w:lineRule="exact"/>
        <w:ind w:firstLine="420" w:firstLineChars="200"/>
        <w:rPr>
          <w:rFonts w:hint="default"/>
          <w:color w:val="auto"/>
          <w:highlight w:val="none"/>
          <w:lang w:val="en-US" w:eastAsia="zh-CN"/>
        </w:rPr>
      </w:pPr>
      <w:r>
        <w:rPr>
          <w:rFonts w:hint="eastAsia"/>
          <w:color w:val="auto"/>
          <w:kern w:val="2"/>
          <w:sz w:val="21"/>
          <w:szCs w:val="21"/>
          <w:highlight w:val="none"/>
          <w:lang w:val="en-US" w:eastAsia="zh-CN"/>
        </w:rPr>
        <w:t>注：如为电子证书的，提供其打印件</w:t>
      </w:r>
      <w:r>
        <w:rPr>
          <w:rFonts w:hint="eastAsia"/>
          <w:color w:val="auto"/>
          <w:kern w:val="2"/>
          <w:sz w:val="21"/>
          <w:szCs w:val="21"/>
          <w:highlight w:val="none"/>
          <w:lang w:eastAsia="zh-CN"/>
        </w:rPr>
        <w:t>（加盖投标人公章）。</w:t>
      </w:r>
    </w:p>
    <w:p w14:paraId="0B751C6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（5）招标文件规定须提供的以及投标人认为必要的其他文件。</w:t>
      </w:r>
    </w:p>
    <w:p w14:paraId="60DC3351">
      <w:pPr>
        <w:adjustRightInd w:val="0"/>
        <w:snapToGrid w:val="0"/>
        <w:spacing w:line="360" w:lineRule="exact"/>
        <w:ind w:firstLine="422" w:firstLineChars="200"/>
        <w:jc w:val="both"/>
        <w:rPr>
          <w:rFonts w:hint="eastAsia"/>
          <w:color w:val="auto"/>
          <w:kern w:val="2"/>
          <w:sz w:val="21"/>
          <w:szCs w:val="21"/>
          <w:highlight w:val="none"/>
          <w:lang w:eastAsia="zh-CN"/>
        </w:rPr>
      </w:pPr>
      <w:r>
        <w:rPr>
          <w:rFonts w:hint="eastAsia"/>
          <w:b/>
          <w:bCs/>
          <w:color w:val="auto"/>
          <w:kern w:val="2"/>
          <w:sz w:val="21"/>
          <w:szCs w:val="21"/>
          <w:highlight w:val="none"/>
          <w:lang w:eastAsia="zh-CN"/>
        </w:rPr>
        <w:t>注：上述所有材料应装订成册，</w:t>
      </w:r>
      <w:r>
        <w:rPr>
          <w:rFonts w:hint="eastAsia"/>
          <w:color w:val="auto"/>
          <w:kern w:val="2"/>
          <w:sz w:val="21"/>
          <w:szCs w:val="21"/>
          <w:highlight w:val="none"/>
          <w:lang w:val="en-US" w:eastAsia="zh-CN"/>
        </w:rPr>
        <w:t>正、副本分开装订</w:t>
      </w:r>
      <w:r>
        <w:rPr>
          <w:rFonts w:hint="eastAsia"/>
          <w:color w:val="auto"/>
          <w:kern w:val="2"/>
          <w:sz w:val="21"/>
          <w:szCs w:val="21"/>
          <w:highlight w:val="none"/>
          <w:lang w:eastAsia="zh-CN"/>
        </w:rPr>
        <w:t>；</w:t>
      </w:r>
      <w:r>
        <w:rPr>
          <w:rFonts w:hint="eastAsia"/>
          <w:b/>
          <w:bCs/>
          <w:color w:val="auto"/>
          <w:kern w:val="2"/>
          <w:sz w:val="21"/>
          <w:szCs w:val="21"/>
          <w:highlight w:val="none"/>
          <w:u w:val="single"/>
          <w:lang w:eastAsia="zh-CN"/>
        </w:rPr>
        <w:t>同时</w:t>
      </w:r>
      <w:r>
        <w:rPr>
          <w:rFonts w:hint="eastAsia"/>
          <w:b/>
          <w:bCs/>
          <w:color w:val="auto"/>
          <w:kern w:val="2"/>
          <w:sz w:val="21"/>
          <w:szCs w:val="21"/>
          <w:highlight w:val="none"/>
          <w:u w:val="single"/>
          <w:lang w:val="en-US" w:eastAsia="zh-CN"/>
        </w:rPr>
        <w:t>提供一份电子备份文件</w:t>
      </w:r>
      <w:r>
        <w:rPr>
          <w:rFonts w:hint="eastAsia"/>
          <w:b/>
          <w:bCs/>
          <w:color w:val="auto"/>
          <w:kern w:val="2"/>
          <w:sz w:val="21"/>
          <w:szCs w:val="21"/>
          <w:highlight w:val="none"/>
          <w:u w:val="single"/>
          <w:lang w:eastAsia="zh-CN"/>
        </w:rPr>
        <w:t>，载体为U盘，内容为</w:t>
      </w:r>
      <w:r>
        <w:rPr>
          <w:rFonts w:hint="eastAsia"/>
          <w:b/>
          <w:bCs/>
          <w:color w:val="auto"/>
          <w:sz w:val="21"/>
          <w:szCs w:val="21"/>
          <w:highlight w:val="none"/>
          <w:u w:val="single"/>
          <w:lang w:eastAsia="zh-CN"/>
        </w:rPr>
        <w:t>投标文件</w:t>
      </w:r>
      <w:r>
        <w:rPr>
          <w:rFonts w:hint="eastAsia"/>
          <w:b/>
          <w:bCs/>
          <w:color w:val="auto"/>
          <w:sz w:val="21"/>
          <w:szCs w:val="21"/>
          <w:highlight w:val="none"/>
          <w:u w:val="single"/>
          <w:lang w:val="en-US" w:eastAsia="zh-CN"/>
        </w:rPr>
        <w:t>正本PDF格式原件彩色扫描件</w:t>
      </w:r>
      <w:r>
        <w:rPr>
          <w:rFonts w:hint="eastAsia"/>
          <w:b/>
          <w:bCs/>
          <w:color w:val="auto"/>
          <w:sz w:val="21"/>
          <w:szCs w:val="21"/>
          <w:highlight w:val="none"/>
          <w:u w:val="single"/>
          <w:lang w:eastAsia="zh-CN"/>
        </w:rPr>
        <w:t>，单独封装或直接放入投标文件封袋中随投标文件一起递交</w:t>
      </w:r>
      <w:r>
        <w:rPr>
          <w:rFonts w:hint="eastAsia"/>
          <w:color w:val="auto"/>
          <w:kern w:val="2"/>
          <w:sz w:val="21"/>
          <w:szCs w:val="21"/>
          <w:highlight w:val="none"/>
          <w:lang w:eastAsia="zh-CN"/>
        </w:rPr>
        <w:t>。</w:t>
      </w:r>
    </w:p>
    <w:p w14:paraId="0AFEE781">
      <w:pPr>
        <w:tabs>
          <w:tab w:val="left" w:pos="1440"/>
        </w:tabs>
        <w:adjustRightInd w:val="0"/>
        <w:snapToGrid w:val="0"/>
        <w:spacing w:line="440" w:lineRule="exact"/>
        <w:ind w:firstLine="422" w:firstLineChars="200"/>
        <w:rPr>
          <w:rFonts w:hint="eastAsia"/>
          <w:b/>
          <w:bCs/>
          <w:color w:val="auto"/>
          <w:kern w:val="2"/>
          <w:sz w:val="21"/>
          <w:szCs w:val="21"/>
          <w:highlight w:val="none"/>
          <w:lang w:eastAsia="zh-CN"/>
        </w:rPr>
      </w:pPr>
      <w:r>
        <w:rPr>
          <w:rFonts w:hint="eastAsia"/>
          <w:b/>
          <w:bCs/>
          <w:color w:val="auto"/>
          <w:kern w:val="2"/>
          <w:sz w:val="21"/>
          <w:szCs w:val="21"/>
          <w:highlight w:val="none"/>
          <w:lang w:eastAsia="zh-CN"/>
        </w:rPr>
        <w:t>招标人在定标后、签订合同直至服务结束的全过程中随时保留核验投标人资格的权利。投标人应认真阅读招标文件中所有的事项、格式、条款和规范等要求。若投标人提交的投标文件资料不全，或未按招标文件提供的投标文件格式提交投标文件，或未对招标文件作出实质性响应，将导致投标文件被拒绝。</w:t>
      </w:r>
    </w:p>
    <w:p w14:paraId="12F741A4">
      <w:pPr>
        <w:tabs>
          <w:tab w:val="left" w:pos="1440"/>
        </w:tabs>
        <w:adjustRightInd w:val="0"/>
        <w:snapToGrid w:val="0"/>
        <w:spacing w:line="440" w:lineRule="exact"/>
        <w:ind w:firstLine="422" w:firstLineChars="200"/>
        <w:rPr>
          <w:rFonts w:hint="eastAsia"/>
          <w:b/>
          <w:bCs/>
          <w:color w:val="auto"/>
          <w:kern w:val="2"/>
          <w:sz w:val="21"/>
          <w:szCs w:val="21"/>
          <w:highlight w:val="none"/>
          <w:lang w:eastAsia="zh-CN"/>
        </w:rPr>
      </w:pPr>
      <w:r>
        <w:rPr>
          <w:rFonts w:hint="eastAsia"/>
          <w:b/>
          <w:bCs/>
          <w:color w:val="auto"/>
          <w:kern w:val="2"/>
          <w:sz w:val="21"/>
          <w:szCs w:val="21"/>
          <w:highlight w:val="none"/>
          <w:lang w:eastAsia="zh-CN"/>
        </w:rPr>
        <w:t>投标文件中提供的资格审查资料必须真实有效，且须保证与原件一致（原件不得涂改，如有涂改须加盖原签发单位公章）、完整（关键信息齐全）、清晰可辨</w:t>
      </w:r>
      <w:r>
        <w:rPr>
          <w:b/>
          <w:bCs/>
          <w:color w:val="auto"/>
          <w:kern w:val="2"/>
          <w:sz w:val="21"/>
          <w:szCs w:val="21"/>
          <w:highlight w:val="none"/>
          <w:lang w:eastAsia="zh-CN"/>
        </w:rPr>
        <w:t>(钢印除外)。出现不符合上述任一情况的，资格审查均不予通过</w:t>
      </w:r>
      <w:r>
        <w:rPr>
          <w:rFonts w:hint="eastAsia"/>
          <w:b/>
          <w:bCs/>
          <w:color w:val="auto"/>
          <w:kern w:val="2"/>
          <w:sz w:val="21"/>
          <w:szCs w:val="21"/>
          <w:highlight w:val="none"/>
          <w:lang w:eastAsia="zh-CN"/>
        </w:rPr>
        <w:t>。</w:t>
      </w:r>
    </w:p>
    <w:bookmarkEnd w:id="63"/>
    <w:p w14:paraId="185F9B7F">
      <w:pPr>
        <w:adjustRightInd w:val="0"/>
        <w:snapToGrid w:val="0"/>
        <w:spacing w:line="440" w:lineRule="exact"/>
        <w:ind w:firstLine="422" w:firstLineChars="200"/>
        <w:outlineLvl w:val="2"/>
        <w:rPr>
          <w:rFonts w:hint="eastAsia"/>
          <w:b/>
          <w:color w:val="auto"/>
          <w:sz w:val="21"/>
          <w:szCs w:val="21"/>
          <w:highlight w:val="none"/>
          <w:lang w:eastAsia="zh-CN"/>
        </w:rPr>
      </w:pPr>
      <w:bookmarkStart w:id="64" w:name="_Toc65743904"/>
      <w:r>
        <w:rPr>
          <w:rFonts w:hint="eastAsia"/>
          <w:b/>
          <w:color w:val="auto"/>
          <w:sz w:val="21"/>
          <w:szCs w:val="21"/>
          <w:highlight w:val="none"/>
          <w:lang w:eastAsia="zh-CN"/>
        </w:rPr>
        <w:t>3.2投标报价</w:t>
      </w:r>
      <w:bookmarkEnd w:id="64"/>
    </w:p>
    <w:p w14:paraId="7A90338E">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3.2.1投标报价应包括国家规定的增值税税金，除投标人须知前附表另有规定外，增值税税金按一般计税方法计算。</w:t>
      </w:r>
    </w:p>
    <w:p w14:paraId="28900018">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3.2.2投标人应充分了解该项目的总体情况以及影响投标报价的其他要素。</w:t>
      </w:r>
    </w:p>
    <w:p w14:paraId="16AFA93F">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3.2.3本项目的报价方式见投标人须知前附表。投标人在投标截止时间前修改投标函中的投标报价。此修改须符合本章第4.3款的有关要求。</w:t>
      </w:r>
    </w:p>
    <w:p w14:paraId="7D13665A">
      <w:pPr>
        <w:adjustRightInd w:val="0"/>
        <w:snapToGrid w:val="0"/>
        <w:spacing w:line="440" w:lineRule="exact"/>
        <w:ind w:firstLine="420" w:firstLineChars="200"/>
        <w:rPr>
          <w:rFonts w:hint="eastAsia"/>
          <w:b/>
          <w:color w:val="auto"/>
          <w:sz w:val="21"/>
          <w:szCs w:val="21"/>
          <w:highlight w:val="none"/>
          <w:lang w:eastAsia="zh-CN"/>
        </w:rPr>
      </w:pPr>
      <w:r>
        <w:rPr>
          <w:rFonts w:hint="eastAsia"/>
          <w:color w:val="auto"/>
          <w:sz w:val="21"/>
          <w:szCs w:val="21"/>
          <w:highlight w:val="none"/>
          <w:lang w:eastAsia="zh-CN"/>
        </w:rPr>
        <w:t>3.2.4</w:t>
      </w:r>
      <w:r>
        <w:rPr>
          <w:rFonts w:hint="eastAsia"/>
          <w:b/>
          <w:color w:val="auto"/>
          <w:sz w:val="21"/>
          <w:szCs w:val="21"/>
          <w:highlight w:val="none"/>
          <w:lang w:eastAsia="zh-CN"/>
        </w:rPr>
        <w:t>招标人设有最高投标限价的，投标人的投标报价不得超过最高投标限价，最高投标限价在投标人须知前附表中载明。</w:t>
      </w:r>
    </w:p>
    <w:p w14:paraId="7FCA0A22">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3.2.5投标报价的其他要求见投标人须知前附表。</w:t>
      </w:r>
      <w:bookmarkStart w:id="65" w:name="_bookmark43"/>
      <w:bookmarkEnd w:id="65"/>
      <w:bookmarkStart w:id="66" w:name="_Toc65743905"/>
    </w:p>
    <w:p w14:paraId="3E4CC1CB">
      <w:pPr>
        <w:adjustRightInd w:val="0"/>
        <w:snapToGrid w:val="0"/>
        <w:spacing w:line="440" w:lineRule="exact"/>
        <w:ind w:firstLine="422" w:firstLineChars="200"/>
        <w:rPr>
          <w:rFonts w:hint="eastAsia"/>
          <w:b/>
          <w:color w:val="auto"/>
          <w:sz w:val="21"/>
          <w:szCs w:val="21"/>
          <w:highlight w:val="none"/>
          <w:lang w:eastAsia="zh-CN"/>
        </w:rPr>
      </w:pPr>
      <w:r>
        <w:rPr>
          <w:rFonts w:hint="eastAsia"/>
          <w:b/>
          <w:color w:val="auto"/>
          <w:sz w:val="21"/>
          <w:szCs w:val="21"/>
          <w:highlight w:val="none"/>
          <w:lang w:eastAsia="zh-CN"/>
        </w:rPr>
        <w:t>3.3投标有效期</w:t>
      </w:r>
      <w:bookmarkEnd w:id="66"/>
    </w:p>
    <w:p w14:paraId="65FDCFE0">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3.3.1除投标人须知前附表另有规定外，投标有效期为90天。</w:t>
      </w:r>
    </w:p>
    <w:p w14:paraId="21786D93">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3.3.2在投标有效期内，投标人撤销投标文件的，应承担招标文件和法律规定的责任。</w:t>
      </w:r>
    </w:p>
    <w:p w14:paraId="503125F3">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bookmarkStart w:id="67" w:name="_bookmark46"/>
      <w:bookmarkEnd w:id="67"/>
      <w:bookmarkStart w:id="68" w:name="_bookmark44"/>
      <w:bookmarkEnd w:id="68"/>
      <w:bookmarkStart w:id="69" w:name="_Toc65743907"/>
    </w:p>
    <w:p w14:paraId="622D7AB4">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3.4投标保证金</w:t>
      </w:r>
    </w:p>
    <w:p w14:paraId="327F2281">
      <w:pPr>
        <w:topLinePunct/>
        <w:autoSpaceDN w:val="0"/>
        <w:spacing w:line="360" w:lineRule="auto"/>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3.4.1 投标人在递交投标文件的同时，应按规定的金额、形式递交投标保证金，并作为其投标文件的组成部分。联合体投标的，其投标保证金由牵头人递交，并应符合有关规定。</w:t>
      </w:r>
    </w:p>
    <w:p w14:paraId="7E36CE42">
      <w:pPr>
        <w:topLinePunct/>
        <w:autoSpaceDN w:val="0"/>
        <w:spacing w:line="360" w:lineRule="auto"/>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3.4.2本</w:t>
      </w:r>
      <w:r>
        <w:rPr>
          <w:rFonts w:hint="eastAsia"/>
          <w:color w:val="auto"/>
          <w:kern w:val="2"/>
          <w:sz w:val="21"/>
          <w:szCs w:val="21"/>
          <w:highlight w:val="none"/>
          <w:lang w:val="en-US" w:eastAsia="zh-CN"/>
        </w:rPr>
        <w:t>项目</w:t>
      </w:r>
      <w:r>
        <w:rPr>
          <w:rFonts w:hint="eastAsia"/>
          <w:color w:val="auto"/>
          <w:kern w:val="2"/>
          <w:sz w:val="21"/>
          <w:szCs w:val="21"/>
          <w:highlight w:val="none"/>
          <w:lang w:eastAsia="zh-CN"/>
        </w:rPr>
        <w:t>投标保证金数额为人民币</w:t>
      </w:r>
      <w:r>
        <w:rPr>
          <w:rFonts w:hint="eastAsia"/>
          <w:b/>
          <w:bCs/>
          <w:color w:val="auto"/>
          <w:kern w:val="2"/>
          <w:sz w:val="21"/>
          <w:szCs w:val="21"/>
          <w:highlight w:val="none"/>
          <w:u w:val="single"/>
          <w:lang w:eastAsia="zh-CN"/>
        </w:rPr>
        <w:t>2000元整</w:t>
      </w:r>
      <w:r>
        <w:rPr>
          <w:rFonts w:hint="eastAsia"/>
          <w:color w:val="auto"/>
          <w:kern w:val="2"/>
          <w:sz w:val="21"/>
          <w:szCs w:val="21"/>
          <w:highlight w:val="none"/>
          <w:lang w:eastAsia="zh-CN"/>
        </w:rPr>
        <w:t>。投标保证金采用</w:t>
      </w:r>
      <w:r>
        <w:rPr>
          <w:rFonts w:hint="eastAsia"/>
          <w:b/>
          <w:bCs/>
          <w:color w:val="auto"/>
          <w:kern w:val="2"/>
          <w:sz w:val="21"/>
          <w:szCs w:val="21"/>
          <w:highlight w:val="none"/>
          <w:u w:val="single"/>
          <w:lang w:eastAsia="zh-CN"/>
        </w:rPr>
        <w:t>银行汇票形式或电子保函（保单）形式（电子保函可通过盐城市数字一体化电子保函综合服务平台办理（网址：https://www.ycbaohan.com）（不接受其他形式）</w:t>
      </w:r>
      <w:r>
        <w:rPr>
          <w:rFonts w:hint="eastAsia"/>
          <w:color w:val="auto"/>
          <w:kern w:val="2"/>
          <w:sz w:val="21"/>
          <w:szCs w:val="21"/>
          <w:highlight w:val="none"/>
          <w:lang w:eastAsia="zh-CN"/>
        </w:rPr>
        <w:t>。投标人必须在投标文件递交截止时间前以投标人本单位的</w:t>
      </w:r>
      <w:r>
        <w:rPr>
          <w:rFonts w:hint="eastAsia"/>
          <w:b/>
          <w:bCs/>
          <w:color w:val="auto"/>
          <w:kern w:val="2"/>
          <w:sz w:val="21"/>
          <w:szCs w:val="21"/>
          <w:highlight w:val="none"/>
          <w:lang w:eastAsia="zh-CN"/>
        </w:rPr>
        <w:t>基本账户办理</w:t>
      </w:r>
      <w:r>
        <w:rPr>
          <w:rFonts w:hint="eastAsia"/>
          <w:color w:val="auto"/>
          <w:kern w:val="2"/>
          <w:sz w:val="21"/>
          <w:szCs w:val="21"/>
          <w:highlight w:val="none"/>
          <w:lang w:eastAsia="zh-CN"/>
        </w:rPr>
        <w:t>（收款单位：</w:t>
      </w:r>
      <w:r>
        <w:rPr>
          <w:rFonts w:hint="eastAsia"/>
          <w:b/>
          <w:bCs/>
          <w:color w:val="auto"/>
          <w:kern w:val="2"/>
          <w:sz w:val="21"/>
          <w:szCs w:val="21"/>
          <w:highlight w:val="none"/>
          <w:u w:val="single"/>
          <w:lang w:eastAsia="zh-CN"/>
        </w:rPr>
        <w:t>盐城东方投资开发集团有限公司</w:t>
      </w:r>
      <w:r>
        <w:rPr>
          <w:rFonts w:hint="eastAsia"/>
          <w:color w:val="auto"/>
          <w:kern w:val="2"/>
          <w:sz w:val="21"/>
          <w:szCs w:val="21"/>
          <w:highlight w:val="none"/>
          <w:lang w:eastAsia="zh-CN"/>
        </w:rPr>
        <w:t xml:space="preserve"> ；开户银行：</w:t>
      </w:r>
      <w:r>
        <w:rPr>
          <w:rFonts w:hint="eastAsia"/>
          <w:b/>
          <w:bCs/>
          <w:color w:val="auto"/>
          <w:kern w:val="2"/>
          <w:sz w:val="21"/>
          <w:szCs w:val="21"/>
          <w:highlight w:val="none"/>
          <w:u w:val="single"/>
          <w:lang w:eastAsia="zh-CN"/>
        </w:rPr>
        <w:t>中国建设银行盐城开发区支行</w:t>
      </w:r>
      <w:r>
        <w:rPr>
          <w:rFonts w:hint="eastAsia"/>
          <w:color w:val="auto"/>
          <w:kern w:val="2"/>
          <w:sz w:val="21"/>
          <w:szCs w:val="21"/>
          <w:highlight w:val="none"/>
          <w:lang w:eastAsia="zh-CN"/>
        </w:rPr>
        <w:t>；账号：</w:t>
      </w:r>
      <w:r>
        <w:rPr>
          <w:rFonts w:hint="eastAsia"/>
          <w:b/>
          <w:bCs/>
          <w:color w:val="auto"/>
          <w:kern w:val="2"/>
          <w:sz w:val="21"/>
          <w:szCs w:val="21"/>
          <w:highlight w:val="none"/>
          <w:u w:val="single"/>
          <w:lang w:eastAsia="zh-CN"/>
        </w:rPr>
        <w:t>32001735336050837146</w:t>
      </w:r>
      <w:r>
        <w:rPr>
          <w:rFonts w:hint="eastAsia"/>
          <w:color w:val="auto"/>
          <w:kern w:val="2"/>
          <w:sz w:val="21"/>
          <w:szCs w:val="21"/>
          <w:highlight w:val="none"/>
          <w:lang w:eastAsia="zh-CN"/>
        </w:rPr>
        <w:t>）。</w:t>
      </w:r>
      <w:r>
        <w:rPr>
          <w:rFonts w:hint="eastAsia"/>
          <w:b/>
          <w:bCs/>
          <w:color w:val="auto"/>
          <w:kern w:val="2"/>
          <w:sz w:val="21"/>
          <w:szCs w:val="21"/>
          <w:highlight w:val="none"/>
          <w:lang w:eastAsia="zh-CN"/>
        </w:rPr>
        <w:t>投标保证金一律以</w:t>
      </w:r>
      <w:r>
        <w:rPr>
          <w:rFonts w:hint="eastAsia"/>
          <w:b/>
          <w:bCs/>
          <w:color w:val="auto"/>
          <w:kern w:val="2"/>
          <w:sz w:val="21"/>
          <w:szCs w:val="21"/>
          <w:highlight w:val="none"/>
          <w:u w:val="single"/>
          <w:lang w:eastAsia="zh-CN"/>
        </w:rPr>
        <w:t>银行汇票或电子保函（保单）方式缴纳</w:t>
      </w:r>
      <w:r>
        <w:rPr>
          <w:rFonts w:hint="eastAsia"/>
          <w:color w:val="auto"/>
          <w:kern w:val="2"/>
          <w:sz w:val="21"/>
          <w:szCs w:val="21"/>
          <w:highlight w:val="none"/>
          <w:lang w:eastAsia="zh-CN"/>
        </w:rPr>
        <w:t>，</w:t>
      </w:r>
      <w:r>
        <w:rPr>
          <w:rFonts w:hint="eastAsia"/>
          <w:b/>
          <w:bCs/>
          <w:color w:val="auto"/>
          <w:kern w:val="2"/>
          <w:sz w:val="21"/>
          <w:szCs w:val="21"/>
          <w:highlight w:val="none"/>
          <w:lang w:eastAsia="zh-CN"/>
        </w:rPr>
        <w:t>投标保证金申请单位及帐号必须与投标人单位名称及公司银行开户许可证或基本存款账户信息证明中的基本户帐号完全一致</w:t>
      </w:r>
      <w:r>
        <w:rPr>
          <w:rFonts w:hint="eastAsia"/>
          <w:color w:val="auto"/>
          <w:kern w:val="2"/>
          <w:sz w:val="21"/>
          <w:szCs w:val="21"/>
          <w:highlight w:val="none"/>
          <w:lang w:eastAsia="zh-CN"/>
        </w:rPr>
        <w:t>。未按招标文件约定要求缴纳投标保证金，其投标文件不予接收。</w:t>
      </w:r>
    </w:p>
    <w:p w14:paraId="5BBE1D3D">
      <w:pPr>
        <w:topLinePunct/>
        <w:autoSpaceDN w:val="0"/>
        <w:spacing w:line="360" w:lineRule="auto"/>
        <w:ind w:firstLine="420" w:firstLineChars="200"/>
        <w:rPr>
          <w:rFonts w:hint="eastAsia"/>
          <w:b/>
          <w:bCs/>
          <w:color w:val="auto"/>
          <w:kern w:val="2"/>
          <w:sz w:val="21"/>
          <w:szCs w:val="21"/>
          <w:highlight w:val="none"/>
          <w:lang w:eastAsia="zh-CN"/>
        </w:rPr>
      </w:pPr>
      <w:r>
        <w:rPr>
          <w:rFonts w:hint="eastAsia"/>
          <w:color w:val="auto"/>
          <w:kern w:val="2"/>
          <w:sz w:val="21"/>
          <w:szCs w:val="21"/>
          <w:highlight w:val="none"/>
          <w:lang w:eastAsia="zh-CN"/>
        </w:rPr>
        <w:t>投标文件递交截止时间前，投标人须将</w:t>
      </w:r>
      <w:r>
        <w:rPr>
          <w:rFonts w:hint="eastAsia"/>
          <w:b/>
          <w:bCs/>
          <w:color w:val="auto"/>
          <w:kern w:val="2"/>
          <w:sz w:val="21"/>
          <w:szCs w:val="21"/>
          <w:highlight w:val="none"/>
          <w:u w:val="single"/>
          <w:lang w:eastAsia="zh-CN"/>
        </w:rPr>
        <w:t>银行汇票原件或电子保函（保单）、《基本账户的银行开户许可证》或《基本存款账户信息》的原件（或复印件加盖投标人公章）</w:t>
      </w:r>
      <w:r>
        <w:rPr>
          <w:rFonts w:hint="eastAsia"/>
          <w:color w:val="auto"/>
          <w:kern w:val="2"/>
          <w:sz w:val="21"/>
          <w:szCs w:val="21"/>
          <w:highlight w:val="none"/>
          <w:lang w:eastAsia="zh-CN"/>
        </w:rPr>
        <w:t>交给工作人员核验，否则视为投标人未缴纳投标保证金。未按招标文件约定要求缴纳投标保证金的，其投标文件将不予接受。</w:t>
      </w:r>
      <w:r>
        <w:rPr>
          <w:rFonts w:hint="eastAsia"/>
          <w:b/>
          <w:bCs/>
          <w:color w:val="auto"/>
          <w:kern w:val="2"/>
          <w:sz w:val="21"/>
          <w:szCs w:val="21"/>
          <w:highlight w:val="none"/>
          <w:lang w:eastAsia="zh-CN"/>
        </w:rPr>
        <w:t>（上述材料无需封装，直接带至开标现场）</w:t>
      </w:r>
    </w:p>
    <w:p w14:paraId="6481D53E">
      <w:pPr>
        <w:topLinePunct/>
        <w:autoSpaceDN w:val="0"/>
        <w:spacing w:line="360" w:lineRule="auto"/>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3.4.3投标保证金退还</w:t>
      </w:r>
    </w:p>
    <w:p w14:paraId="1D7C6565">
      <w:pPr>
        <w:topLinePunct/>
        <w:autoSpaceDN w:val="0"/>
        <w:spacing w:line="360" w:lineRule="auto"/>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3.4.3.1投标保证金退还时间：</w:t>
      </w:r>
      <w:r>
        <w:rPr>
          <w:rFonts w:hint="eastAsia"/>
          <w:b/>
          <w:bCs/>
          <w:color w:val="auto"/>
          <w:kern w:val="2"/>
          <w:sz w:val="21"/>
          <w:szCs w:val="21"/>
          <w:highlight w:val="none"/>
          <w:lang w:eastAsia="zh-CN"/>
        </w:rPr>
        <w:t>未中标人的投标保证金在中标候选人公示结束后无息退还，中标人的汇票待履约保证金缴纳后退还。</w:t>
      </w:r>
    </w:p>
    <w:p w14:paraId="191F434E">
      <w:pPr>
        <w:topLinePunct/>
        <w:autoSpaceDN w:val="0"/>
        <w:spacing w:line="360" w:lineRule="auto"/>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如项目发生异议（投诉）的，中标候选人及异议人（投诉人）投标保证金（采用银行汇票作为投标保证金的，在接受投诉人（异议人）投诉（异议）书时即办理入账手续）在招标项目签订合同后予以退还。</w:t>
      </w:r>
    </w:p>
    <w:p w14:paraId="2B86CC28">
      <w:pPr>
        <w:keepNext w:val="0"/>
        <w:keepLines w:val="0"/>
        <w:pageBreakBefore w:val="0"/>
        <w:widowControl w:val="0"/>
        <w:kinsoku/>
        <w:wordWrap/>
        <w:overflowPunct/>
        <w:topLinePunct/>
        <w:autoSpaceDE/>
        <w:autoSpaceDN w:val="0"/>
        <w:bidi w:val="0"/>
        <w:snapToGrid/>
        <w:spacing w:line="360" w:lineRule="auto"/>
        <w:ind w:firstLine="420" w:firstLineChars="200"/>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中标候选人及投诉人（异议人）投标项目负责人在异议（投诉）处理结束前不得用于投标，其他政府投资项目据此可拒绝其投标。</w:t>
      </w:r>
    </w:p>
    <w:p w14:paraId="3D74BF28">
      <w:pPr>
        <w:keepNext w:val="0"/>
        <w:keepLines w:val="0"/>
        <w:pageBreakBefore w:val="0"/>
        <w:widowControl w:val="0"/>
        <w:kinsoku/>
        <w:wordWrap/>
        <w:overflowPunct/>
        <w:topLinePunct/>
        <w:autoSpaceDE/>
        <w:autoSpaceDN w:val="0"/>
        <w:bidi w:val="0"/>
        <w:snapToGrid/>
        <w:spacing w:line="360" w:lineRule="auto"/>
        <w:ind w:firstLine="420" w:firstLineChars="200"/>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以电子保函（保单）形式缴纳的保证金按相关协议执行，无需办理退款手续。</w:t>
      </w:r>
    </w:p>
    <w:p w14:paraId="36F6BDC8">
      <w:pPr>
        <w:keepNext w:val="0"/>
        <w:keepLines w:val="0"/>
        <w:pageBreakBefore w:val="0"/>
        <w:widowControl w:val="0"/>
        <w:kinsoku/>
        <w:wordWrap/>
        <w:overflowPunct/>
        <w:autoSpaceDE/>
        <w:bidi w:val="0"/>
        <w:adjustRightInd w:val="0"/>
        <w:snapToGrid/>
        <w:spacing w:line="360" w:lineRule="auto"/>
        <w:ind w:firstLine="420" w:firstLineChars="200"/>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3.4.4发生下列情况之一，招标人有权取消其中标资格，并没收其投标保证金：</w:t>
      </w:r>
    </w:p>
    <w:p w14:paraId="0B1F8492">
      <w:pPr>
        <w:keepNext w:val="0"/>
        <w:keepLines w:val="0"/>
        <w:pageBreakBefore w:val="0"/>
        <w:widowControl w:val="0"/>
        <w:kinsoku/>
        <w:wordWrap/>
        <w:overflowPunct/>
        <w:autoSpaceDE/>
        <w:bidi w:val="0"/>
        <w:snapToGrid/>
        <w:spacing w:line="360" w:lineRule="auto"/>
        <w:ind w:firstLine="440" w:firstLineChars="200"/>
        <w:textAlignment w:val="auto"/>
        <w:rPr>
          <w:rFonts w:ascii="宋体" w:hAnsi="宋体" w:eastAsia="宋体" w:cs="Courier New"/>
          <w:color w:val="auto"/>
          <w:szCs w:val="21"/>
          <w:highlight w:val="none"/>
        </w:rPr>
      </w:pPr>
      <w:r>
        <w:rPr>
          <w:rFonts w:ascii="宋体" w:hAnsi="宋体" w:eastAsia="宋体" w:cs="Courier New"/>
          <w:color w:val="auto"/>
          <w:szCs w:val="21"/>
          <w:highlight w:val="none"/>
        </w:rPr>
        <w:t>（1）投标人在规定的投标有效期内撤销或修改其投标文件的；</w:t>
      </w:r>
    </w:p>
    <w:p w14:paraId="30796D53">
      <w:pPr>
        <w:keepNext w:val="0"/>
        <w:keepLines w:val="0"/>
        <w:pageBreakBefore w:val="0"/>
        <w:widowControl w:val="0"/>
        <w:kinsoku/>
        <w:wordWrap/>
        <w:overflowPunct/>
        <w:autoSpaceDE/>
        <w:bidi w:val="0"/>
        <w:snapToGrid/>
        <w:spacing w:line="360" w:lineRule="auto"/>
        <w:ind w:firstLine="440" w:firstLineChars="200"/>
        <w:textAlignment w:val="auto"/>
        <w:rPr>
          <w:rFonts w:ascii="宋体" w:hAnsi="宋体" w:eastAsia="宋体" w:cs="Courier New"/>
          <w:color w:val="auto"/>
          <w:szCs w:val="21"/>
          <w:highlight w:val="none"/>
        </w:rPr>
      </w:pPr>
      <w:r>
        <w:rPr>
          <w:rFonts w:ascii="宋体" w:hAnsi="宋体" w:eastAsia="宋体" w:cs="Courier New"/>
          <w:color w:val="auto"/>
          <w:szCs w:val="21"/>
          <w:highlight w:val="none"/>
        </w:rPr>
        <w:t>（2）中标人在收到中标通知书后，无正当理由拒绝签订合同协议书或未按招标文件规定提交履约担保</w:t>
      </w:r>
      <w:r>
        <w:rPr>
          <w:rFonts w:hint="eastAsia" w:ascii="宋体" w:hAnsi="宋体" w:eastAsia="宋体" w:cs="Courier New"/>
          <w:color w:val="auto"/>
          <w:szCs w:val="21"/>
          <w:highlight w:val="none"/>
        </w:rPr>
        <w:t>；</w:t>
      </w:r>
    </w:p>
    <w:p w14:paraId="5B220208">
      <w:pPr>
        <w:keepNext w:val="0"/>
        <w:keepLines w:val="0"/>
        <w:pageBreakBefore w:val="0"/>
        <w:widowControl w:val="0"/>
        <w:kinsoku/>
        <w:wordWrap/>
        <w:overflowPunct/>
        <w:autoSpaceDE/>
        <w:bidi w:val="0"/>
        <w:snapToGrid/>
        <w:spacing w:line="360" w:lineRule="auto"/>
        <w:ind w:firstLine="440" w:firstLineChars="200"/>
        <w:textAlignment w:val="auto"/>
        <w:rPr>
          <w:rFonts w:ascii="宋体" w:hAnsi="宋体" w:eastAsia="宋体" w:cs="Courier New"/>
          <w:color w:val="auto"/>
          <w:szCs w:val="21"/>
          <w:highlight w:val="none"/>
        </w:rPr>
      </w:pPr>
      <w:r>
        <w:rPr>
          <w:rFonts w:ascii="宋体" w:hAnsi="宋体" w:eastAsia="宋体" w:cs="Courier New"/>
          <w:color w:val="auto"/>
          <w:szCs w:val="21"/>
          <w:highlight w:val="none"/>
        </w:rPr>
        <w:t>（3）中标人在签订合同时向招标人提出附加条件；</w:t>
      </w:r>
    </w:p>
    <w:p w14:paraId="3C857B3B">
      <w:pPr>
        <w:keepNext w:val="0"/>
        <w:keepLines w:val="0"/>
        <w:pageBreakBefore w:val="0"/>
        <w:widowControl w:val="0"/>
        <w:kinsoku/>
        <w:wordWrap/>
        <w:overflowPunct/>
        <w:autoSpaceDE/>
        <w:bidi w:val="0"/>
        <w:snapToGrid/>
        <w:spacing w:line="360" w:lineRule="auto"/>
        <w:ind w:firstLine="440" w:firstLineChars="200"/>
        <w:textAlignment w:val="auto"/>
        <w:rPr>
          <w:rFonts w:ascii="宋体" w:hAnsi="宋体" w:eastAsia="宋体" w:cs="Courier New"/>
          <w:color w:val="auto"/>
          <w:szCs w:val="21"/>
          <w:highlight w:val="none"/>
        </w:rPr>
      </w:pPr>
      <w:r>
        <w:rPr>
          <w:rFonts w:hint="eastAsia" w:ascii="宋体" w:hAnsi="宋体" w:eastAsia="宋体" w:cs="Courier New"/>
          <w:color w:val="auto"/>
          <w:szCs w:val="21"/>
          <w:highlight w:val="none"/>
        </w:rPr>
        <w:t>（4）中标人以非正当理由放弃中标；</w:t>
      </w:r>
    </w:p>
    <w:p w14:paraId="1DF2E60B">
      <w:pPr>
        <w:keepNext w:val="0"/>
        <w:keepLines w:val="0"/>
        <w:pageBreakBefore w:val="0"/>
        <w:widowControl w:val="0"/>
        <w:kinsoku/>
        <w:wordWrap/>
        <w:overflowPunct/>
        <w:autoSpaceDE/>
        <w:bidi w:val="0"/>
        <w:snapToGrid/>
        <w:spacing w:line="360" w:lineRule="auto"/>
        <w:ind w:firstLine="440" w:firstLineChars="200"/>
        <w:textAlignment w:val="auto"/>
        <w:rPr>
          <w:rFonts w:ascii="宋体" w:hAnsi="宋体" w:eastAsia="宋体" w:cs="Courier New"/>
          <w:color w:val="auto"/>
          <w:szCs w:val="21"/>
          <w:highlight w:val="none"/>
        </w:rPr>
      </w:pPr>
      <w:r>
        <w:rPr>
          <w:rFonts w:hint="eastAsia" w:ascii="宋体" w:hAnsi="宋体" w:eastAsia="宋体" w:cs="Courier New"/>
          <w:color w:val="auto"/>
          <w:szCs w:val="21"/>
          <w:highlight w:val="none"/>
        </w:rPr>
        <w:t>（5）投标人串通投标的；</w:t>
      </w:r>
    </w:p>
    <w:p w14:paraId="7011E49A">
      <w:pPr>
        <w:keepNext w:val="0"/>
        <w:keepLines w:val="0"/>
        <w:pageBreakBefore w:val="0"/>
        <w:widowControl w:val="0"/>
        <w:kinsoku/>
        <w:wordWrap/>
        <w:overflowPunct/>
        <w:autoSpaceDE/>
        <w:bidi w:val="0"/>
        <w:adjustRightInd w:val="0"/>
        <w:snapToGrid/>
        <w:spacing w:line="360" w:lineRule="auto"/>
        <w:ind w:firstLine="440" w:firstLineChars="200"/>
        <w:textAlignment w:val="auto"/>
        <w:rPr>
          <w:rFonts w:hint="eastAsia"/>
          <w:color w:val="auto"/>
          <w:kern w:val="2"/>
          <w:sz w:val="21"/>
          <w:szCs w:val="21"/>
          <w:highlight w:val="none"/>
          <w:lang w:eastAsia="zh-CN"/>
        </w:rPr>
      </w:pPr>
      <w:r>
        <w:rPr>
          <w:rFonts w:hint="eastAsia" w:ascii="宋体" w:hAnsi="宋体" w:eastAsia="宋体" w:cs="Courier New"/>
          <w:color w:val="auto"/>
          <w:szCs w:val="21"/>
          <w:highlight w:val="none"/>
        </w:rPr>
        <w:t>（6）投标人提供虚假材料、弄虚作假骗取中标的</w:t>
      </w:r>
      <w:r>
        <w:rPr>
          <w:rFonts w:hint="eastAsia"/>
          <w:color w:val="auto"/>
          <w:kern w:val="2"/>
          <w:sz w:val="21"/>
          <w:szCs w:val="21"/>
          <w:highlight w:val="none"/>
          <w:lang w:eastAsia="zh-CN"/>
        </w:rPr>
        <w:t>。</w:t>
      </w:r>
    </w:p>
    <w:p w14:paraId="3BE0FB18">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3.5资格审查资料</w:t>
      </w:r>
      <w:bookmarkEnd w:id="69"/>
    </w:p>
    <w:p w14:paraId="307967D8">
      <w:pPr>
        <w:adjustRightInd w:val="0"/>
        <w:snapToGrid w:val="0"/>
        <w:spacing w:line="440" w:lineRule="exact"/>
        <w:ind w:firstLine="420" w:firstLineChars="200"/>
        <w:rPr>
          <w:rFonts w:hint="eastAsia"/>
          <w:b/>
          <w:color w:val="auto"/>
          <w:kern w:val="2"/>
          <w:sz w:val="21"/>
          <w:szCs w:val="21"/>
          <w:highlight w:val="none"/>
          <w:lang w:eastAsia="zh-CN"/>
        </w:rPr>
      </w:pPr>
      <w:bookmarkStart w:id="70" w:name="_bookmark47"/>
      <w:bookmarkEnd w:id="70"/>
      <w:bookmarkStart w:id="71" w:name="_Toc65743908"/>
      <w:r>
        <w:rPr>
          <w:rFonts w:hint="eastAsia"/>
          <w:color w:val="auto"/>
          <w:kern w:val="2"/>
          <w:sz w:val="21"/>
          <w:szCs w:val="21"/>
          <w:highlight w:val="none"/>
          <w:lang w:eastAsia="zh-CN"/>
        </w:rPr>
        <w:t>投标人在编制投标文件时，应按照本章3.1的要求提供资料。</w:t>
      </w:r>
      <w:r>
        <w:rPr>
          <w:rFonts w:hint="eastAsia"/>
          <w:b/>
          <w:color w:val="auto"/>
          <w:kern w:val="2"/>
          <w:sz w:val="21"/>
          <w:szCs w:val="21"/>
          <w:highlight w:val="none"/>
          <w:lang w:eastAsia="zh-CN"/>
        </w:rPr>
        <w:t>各投标人对本企业提供的资料真实性负责，如发现上述资格审查资料不实，依据相关法律法规和规定以投标人弄虚作假骗取中标的行为予以相应处罚。</w:t>
      </w:r>
    </w:p>
    <w:p w14:paraId="65B53959">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3.6备选投标方案</w:t>
      </w:r>
      <w:bookmarkEnd w:id="71"/>
    </w:p>
    <w:p w14:paraId="4ED90E58">
      <w:pPr>
        <w:adjustRightInd w:val="0"/>
        <w:snapToGrid w:val="0"/>
        <w:spacing w:line="440" w:lineRule="exact"/>
        <w:ind w:firstLine="420" w:firstLineChars="200"/>
        <w:rPr>
          <w:rFonts w:hint="eastAsia"/>
          <w:b/>
          <w:color w:val="auto"/>
          <w:kern w:val="2"/>
          <w:sz w:val="21"/>
          <w:szCs w:val="21"/>
          <w:highlight w:val="none"/>
          <w:lang w:eastAsia="zh-CN"/>
        </w:rPr>
      </w:pPr>
      <w:bookmarkStart w:id="72" w:name="_Toc398107861"/>
      <w:bookmarkStart w:id="73" w:name="_Toc65743909"/>
      <w:r>
        <w:rPr>
          <w:rFonts w:hint="eastAsia"/>
          <w:color w:val="auto"/>
          <w:kern w:val="2"/>
          <w:sz w:val="21"/>
          <w:szCs w:val="21"/>
          <w:highlight w:val="none"/>
          <w:lang w:eastAsia="zh-CN"/>
        </w:rPr>
        <w:t>3.6.1除投标人须知前附表另有规定外，投标人不得递交备选投标方案，否则其投标将被否决。</w:t>
      </w:r>
    </w:p>
    <w:p w14:paraId="6144333B">
      <w:pPr>
        <w:adjustRightInd w:val="0"/>
        <w:snapToGrid w:val="0"/>
        <w:spacing w:line="440" w:lineRule="exact"/>
        <w:ind w:firstLine="420" w:firstLineChars="200"/>
        <w:rPr>
          <w:rFonts w:hint="eastAsia"/>
          <w:b/>
          <w:color w:val="auto"/>
          <w:kern w:val="2"/>
          <w:sz w:val="21"/>
          <w:szCs w:val="21"/>
          <w:highlight w:val="none"/>
          <w:lang w:eastAsia="zh-CN"/>
        </w:rPr>
      </w:pPr>
      <w:r>
        <w:rPr>
          <w:rFonts w:hint="eastAsia"/>
          <w:color w:val="auto"/>
          <w:kern w:val="2"/>
          <w:sz w:val="21"/>
          <w:szCs w:val="21"/>
          <w:highlight w:val="none"/>
          <w:lang w:eastAsia="zh-CN"/>
        </w:rPr>
        <w:t>3.6.2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14:paraId="73E9B78B">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3.6.3投标人提供两个或两个以上投标报价，或者在投标文件中提供一个报价，但同时提供两个或两个以上服务方案的，视为提供备选方案。</w:t>
      </w:r>
    </w:p>
    <w:p w14:paraId="6D720E41">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3.7投标文件的编制</w:t>
      </w:r>
    </w:p>
    <w:bookmarkEnd w:id="72"/>
    <w:bookmarkEnd w:id="73"/>
    <w:p w14:paraId="2FB50F43">
      <w:pPr>
        <w:adjustRightInd w:val="0"/>
        <w:snapToGrid w:val="0"/>
        <w:spacing w:line="440" w:lineRule="exact"/>
        <w:ind w:firstLine="420" w:firstLineChars="200"/>
        <w:rPr>
          <w:rFonts w:hint="eastAsia"/>
          <w:color w:val="auto"/>
          <w:kern w:val="2"/>
          <w:sz w:val="21"/>
          <w:szCs w:val="21"/>
          <w:highlight w:val="none"/>
          <w:lang w:eastAsia="zh-CN"/>
        </w:rPr>
      </w:pPr>
      <w:bookmarkStart w:id="74" w:name="EB95985e30b07f4003b462360016032747"/>
      <w:r>
        <w:rPr>
          <w:rFonts w:hint="eastAsia"/>
          <w:color w:val="auto"/>
          <w:kern w:val="2"/>
          <w:sz w:val="21"/>
          <w:szCs w:val="21"/>
          <w:highlight w:val="none"/>
          <w:lang w:eastAsia="zh-CN"/>
        </w:rPr>
        <w:t>3.7.1投标文件应按3.1投标文件的组成和“第五章投标文件格式”进行编写，并按要求提交相关证明材料。如有必要，可以增加附页，作为投标文件的组成部分。</w:t>
      </w:r>
    </w:p>
    <w:p w14:paraId="0C05A275">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3.7.2投标文件应当对招标文件有关服务时间、投标有效期、质量、服务要求、招标范围等实质性内容作出响应。投标文件在满足招标文件实质性要求的基础上，可以提出比招标文件要求更有利于招标人的承诺。</w:t>
      </w:r>
    </w:p>
    <w:bookmarkEnd w:id="74"/>
    <w:p w14:paraId="2A7BE20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14:paraId="1D4D3679">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3.7.4应按招标文件规定的格式认真如实填写投标文件的所有栏目和内容，不得缺项、漏项。</w:t>
      </w:r>
    </w:p>
    <w:p w14:paraId="5875D1AA">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3.7.5投标文件应符合招标文件和投标截止时间前招标人、招标代理机构可能发出的澄清、修改或补充文件的要求。</w:t>
      </w:r>
    </w:p>
    <w:p w14:paraId="2DAEE0AD">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3.7.6投标文件须按招标文件要求签字和盖章。由投标人的法定代表人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color w:val="auto"/>
          <w:kern w:val="2"/>
          <w:sz w:val="21"/>
          <w:szCs w:val="21"/>
          <w:highlight w:val="none"/>
          <w:lang w:eastAsia="zh-CN"/>
        </w:rPr>
        <w:t>签字（或盖章）的，应附法定代表人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color w:val="auto"/>
          <w:kern w:val="2"/>
          <w:sz w:val="21"/>
          <w:szCs w:val="21"/>
          <w:highlight w:val="none"/>
          <w:lang w:eastAsia="zh-CN"/>
        </w:rPr>
        <w:t>身份证明，由委托代理人签字（或盖章）的，应附授权委托书，身份证明或授权委托书应符合第五章“投标文件格式”的要求。投标文件应尽量避免涂改、行间插字或删除，如果出现上述情况，改动之处应加盖单位章或由投标人的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color w:val="auto"/>
          <w:kern w:val="2"/>
          <w:sz w:val="21"/>
          <w:szCs w:val="21"/>
          <w:highlight w:val="none"/>
          <w:lang w:eastAsia="zh-CN"/>
        </w:rPr>
        <w:t>或其授权的代理人签字确认。投标文件正本投标材料中关于法定代表人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color w:val="auto"/>
          <w:kern w:val="2"/>
          <w:sz w:val="21"/>
          <w:szCs w:val="21"/>
          <w:highlight w:val="none"/>
          <w:lang w:eastAsia="zh-CN"/>
        </w:rPr>
        <w:t>、委托代理人及投标人的签署和印章必须直接签署、盖章，不得复印使用。</w:t>
      </w:r>
    </w:p>
    <w:p w14:paraId="7379F4F3">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color w:val="auto"/>
          <w:kern w:val="2"/>
          <w:sz w:val="21"/>
          <w:szCs w:val="21"/>
          <w:highlight w:val="none"/>
          <w:lang w:eastAsia="zh-CN"/>
        </w:rPr>
        <w:t>3.7.7投标文件份数见投标人须知前附表，另外招标人可以要求投标人中标后再提供多份投标文件。正本和副本的封面上应清楚地标记“正本”或“副本”的字样。当副本和正本不一致时，以正本为准。</w:t>
      </w:r>
    </w:p>
    <w:p w14:paraId="7C806978">
      <w:pPr>
        <w:adjustRightInd w:val="0"/>
        <w:snapToGrid w:val="0"/>
        <w:spacing w:line="440" w:lineRule="exact"/>
        <w:ind w:firstLine="422" w:firstLineChars="200"/>
        <w:outlineLvl w:val="1"/>
        <w:rPr>
          <w:rFonts w:hint="eastAsia"/>
          <w:b/>
          <w:bCs/>
          <w:color w:val="auto"/>
          <w:sz w:val="21"/>
          <w:szCs w:val="21"/>
          <w:highlight w:val="none"/>
          <w:lang w:eastAsia="zh-CN"/>
        </w:rPr>
      </w:pPr>
      <w:bookmarkStart w:id="75" w:name="_Toc6408"/>
      <w:bookmarkStart w:id="76" w:name="_Toc65743925"/>
      <w:r>
        <w:rPr>
          <w:rFonts w:hint="eastAsia"/>
          <w:b/>
          <w:bCs/>
          <w:color w:val="auto"/>
          <w:sz w:val="21"/>
          <w:szCs w:val="21"/>
          <w:highlight w:val="none"/>
          <w:lang w:eastAsia="zh-CN"/>
        </w:rPr>
        <w:t>4.投标</w:t>
      </w:r>
      <w:bookmarkEnd w:id="75"/>
    </w:p>
    <w:p w14:paraId="20D3E1B3">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4.1投标文件的密封和标记</w:t>
      </w:r>
    </w:p>
    <w:p w14:paraId="20FEEFDB">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4.1.1投标文件标书中包括“正本”、“副本”。投标文件应装入封袋（封袋大小、数量不限），投标文件装入封袋后</w:t>
      </w:r>
      <w:r>
        <w:rPr>
          <w:rFonts w:hint="eastAsia"/>
          <w:b/>
          <w:bCs/>
          <w:color w:val="auto"/>
          <w:kern w:val="2"/>
          <w:sz w:val="21"/>
          <w:szCs w:val="21"/>
          <w:highlight w:val="none"/>
          <w:lang w:eastAsia="zh-CN"/>
        </w:rPr>
        <w:t>密封提交</w:t>
      </w:r>
      <w:r>
        <w:rPr>
          <w:rFonts w:hint="eastAsia"/>
          <w:color w:val="auto"/>
          <w:kern w:val="2"/>
          <w:sz w:val="21"/>
          <w:szCs w:val="21"/>
          <w:highlight w:val="none"/>
          <w:lang w:eastAsia="zh-CN"/>
        </w:rPr>
        <w:t>，封套上分别写明</w:t>
      </w:r>
      <w:r>
        <w:rPr>
          <w:rFonts w:hint="eastAsia"/>
          <w:color w:val="auto"/>
          <w:kern w:val="2"/>
          <w:sz w:val="21"/>
          <w:szCs w:val="21"/>
          <w:highlight w:val="none"/>
          <w:u w:val="single"/>
          <w:lang w:eastAsia="zh-CN"/>
        </w:rPr>
        <w:t>项目名称和投标人名称</w:t>
      </w:r>
      <w:r>
        <w:rPr>
          <w:rFonts w:hint="eastAsia"/>
          <w:color w:val="auto"/>
          <w:kern w:val="2"/>
          <w:sz w:val="21"/>
          <w:szCs w:val="21"/>
          <w:highlight w:val="none"/>
          <w:lang w:eastAsia="zh-CN"/>
        </w:rPr>
        <w:t>，并</w:t>
      </w:r>
      <w:r>
        <w:rPr>
          <w:rFonts w:hint="eastAsia"/>
          <w:color w:val="auto"/>
          <w:kern w:val="2"/>
          <w:sz w:val="21"/>
          <w:szCs w:val="21"/>
          <w:highlight w:val="none"/>
          <w:u w:val="single"/>
          <w:lang w:eastAsia="zh-CN"/>
        </w:rPr>
        <w:t>加盖投标人公章</w:t>
      </w:r>
      <w:r>
        <w:rPr>
          <w:rFonts w:hint="eastAsia"/>
          <w:color w:val="auto"/>
          <w:kern w:val="2"/>
          <w:sz w:val="21"/>
          <w:szCs w:val="21"/>
          <w:highlight w:val="none"/>
          <w:lang w:eastAsia="zh-CN"/>
        </w:rPr>
        <w:t>。</w:t>
      </w:r>
    </w:p>
    <w:p w14:paraId="35EFA842">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4.2投标文件的递交</w:t>
      </w:r>
    </w:p>
    <w:p w14:paraId="540816AA">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4.2.1投标人应在投标人须知前附表规定的投标截止时间前递交投标文件。</w:t>
      </w:r>
    </w:p>
    <w:p w14:paraId="7907C93F">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4.2.2投标人递交投标文件的地点：见投标人须知前附表。</w:t>
      </w:r>
    </w:p>
    <w:p w14:paraId="7833884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4.2.3除投标人须知前附表另有规定外，投标人所递交的投标文件不予退还。</w:t>
      </w:r>
    </w:p>
    <w:p w14:paraId="7444BA08">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4.3投标文件的修改与撤回</w:t>
      </w:r>
    </w:p>
    <w:p w14:paraId="2DAFE0A6">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4.3.1在投标人须知前附表规定的投标截止时间前，投标人可以修改或撤回已递交的投标文件，但应以书面形式通知招标人。</w:t>
      </w:r>
    </w:p>
    <w:p w14:paraId="51370E5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4.3.2投标人修改或撤回已递交投标文件的书面通知应按照本章第3.7.6项的要求签字或盖章。招标人收到书面通知后，向投标人出具签收凭证。</w:t>
      </w:r>
    </w:p>
    <w:p w14:paraId="79B9056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4.3.3修改的内容为投标文件的组成部分。修改的投标文件应按照本章第3条、第4条规定进行编制、密封、标记和递交，并标明“修改”字样。</w:t>
      </w:r>
    </w:p>
    <w:p w14:paraId="32C36C46">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4.4不予接收的投标文件</w:t>
      </w:r>
    </w:p>
    <w:p w14:paraId="4A1C8A79">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4.4.1未按本章第4.1.1款规定密封的投标文件，招标人有权不予接收。</w:t>
      </w:r>
    </w:p>
    <w:p w14:paraId="360A2BB4">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4.4.2未按规定获取招标文件而来投标的，招标人有权不予接收。</w:t>
      </w:r>
    </w:p>
    <w:p w14:paraId="65219B47">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4.4.3逾期送达或者未送达指定地点的投标文件，招标人不予接收；对在争议时间点接收的投标文件，后被认定逾期送达的，视同不予接收。</w:t>
      </w:r>
    </w:p>
    <w:p w14:paraId="511D1E5A">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4.4.4 未按招标文件要求提供投标保证金的。</w:t>
      </w:r>
    </w:p>
    <w:p w14:paraId="798B8144">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4.4.5 招标文件约定的其他情形。</w:t>
      </w:r>
    </w:p>
    <w:p w14:paraId="620611F0">
      <w:pPr>
        <w:adjustRightInd w:val="0"/>
        <w:snapToGrid w:val="0"/>
        <w:spacing w:line="440" w:lineRule="exact"/>
        <w:ind w:firstLine="422" w:firstLineChars="200"/>
        <w:outlineLvl w:val="1"/>
        <w:rPr>
          <w:rFonts w:hint="eastAsia"/>
          <w:b/>
          <w:bCs/>
          <w:color w:val="auto"/>
          <w:sz w:val="21"/>
          <w:szCs w:val="21"/>
          <w:highlight w:val="none"/>
          <w:lang w:eastAsia="zh-CN"/>
        </w:rPr>
      </w:pPr>
      <w:bookmarkStart w:id="77" w:name="_Toc15686"/>
      <w:r>
        <w:rPr>
          <w:rFonts w:hint="eastAsia"/>
          <w:b/>
          <w:bCs/>
          <w:color w:val="auto"/>
          <w:sz w:val="21"/>
          <w:szCs w:val="21"/>
          <w:highlight w:val="none"/>
          <w:lang w:eastAsia="zh-CN"/>
        </w:rPr>
        <w:t>5.开标</w:t>
      </w:r>
      <w:bookmarkEnd w:id="77"/>
    </w:p>
    <w:p w14:paraId="510C51B9">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5.1开标时间和地点</w:t>
      </w:r>
    </w:p>
    <w:p w14:paraId="09C19EE3">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招标人在投标人须知前附表规定的开标时间和地点公开开标，并邀请所有投标人准时参加。</w:t>
      </w:r>
    </w:p>
    <w:p w14:paraId="41E34FF7">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5.2开标程序</w:t>
      </w:r>
    </w:p>
    <w:p w14:paraId="10C4A811">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5.2.1主持人按下列程序进行开标：</w:t>
      </w:r>
    </w:p>
    <w:p w14:paraId="2D355015">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（1）宣布开标纪律；</w:t>
      </w:r>
    </w:p>
    <w:p w14:paraId="16101EAD">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（2）宣布招标人、招标代理机构出席开标会的有关人员姓名；</w:t>
      </w:r>
    </w:p>
    <w:p w14:paraId="1EFAFDAD">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（3）公布投标人数量并检查投标文件的密封情况；</w:t>
      </w:r>
    </w:p>
    <w:p w14:paraId="06D03A80">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w:t>
      </w:r>
      <w:r>
        <w:rPr>
          <w:color w:val="auto"/>
          <w:kern w:val="2"/>
          <w:sz w:val="21"/>
          <w:szCs w:val="21"/>
          <w:highlight w:val="none"/>
          <w:lang w:eastAsia="zh-CN"/>
        </w:rPr>
        <w:t>4）招标人代表随机抽取本招标文件约定须在开标现场随机抽取的系数（无论几个标段，只抽取一次，多标段共享。）；</w:t>
      </w:r>
    </w:p>
    <w:p w14:paraId="01E56F8E">
      <w:pPr>
        <w:adjustRightInd w:val="0"/>
        <w:snapToGrid w:val="0"/>
        <w:spacing w:line="440" w:lineRule="exact"/>
        <w:ind w:firstLine="420" w:firstLineChars="200"/>
        <w:rPr>
          <w:rFonts w:hint="eastAsia"/>
          <w:color w:val="auto"/>
          <w:kern w:val="2"/>
          <w:sz w:val="21"/>
          <w:szCs w:val="21"/>
          <w:highlight w:val="none"/>
          <w:lang w:eastAsia="zh-CN"/>
        </w:rPr>
      </w:pPr>
      <w:r>
        <w:rPr>
          <w:rFonts w:hint="eastAsia"/>
          <w:snapToGrid w:val="0"/>
          <w:color w:val="auto"/>
          <w:sz w:val="21"/>
          <w:szCs w:val="21"/>
          <w:highlight w:val="none"/>
          <w:lang w:eastAsia="zh-CN"/>
        </w:rPr>
        <w:t>（5）当众开标、唱标，宣读投标人名称、标段名称、投标保证金的递交情况、投标报价、质量标准（目标）、</w:t>
      </w:r>
      <w:r>
        <w:rPr>
          <w:rFonts w:hint="eastAsia"/>
          <w:color w:val="auto"/>
          <w:kern w:val="2"/>
          <w:sz w:val="21"/>
          <w:szCs w:val="21"/>
          <w:highlight w:val="none"/>
          <w:lang w:eastAsia="zh-CN"/>
        </w:rPr>
        <w:t>服务期限、项目负责人及其他内容；</w:t>
      </w:r>
      <w:r>
        <w:rPr>
          <w:rFonts w:hint="eastAsia"/>
          <w:snapToGrid w:val="0"/>
          <w:color w:val="auto"/>
          <w:sz w:val="21"/>
          <w:szCs w:val="21"/>
          <w:highlight w:val="none"/>
          <w:lang w:eastAsia="zh-CN"/>
        </w:rPr>
        <w:t>招标人逐一核验前附表要求参加开标会的投标人人员身份；</w:t>
      </w:r>
    </w:p>
    <w:p w14:paraId="12EB760A">
      <w:pPr>
        <w:adjustRightInd w:val="0"/>
        <w:snapToGrid w:val="0"/>
        <w:spacing w:line="440" w:lineRule="exact"/>
        <w:ind w:firstLine="420" w:firstLineChars="200"/>
        <w:rPr>
          <w:rFonts w:hint="eastAsia"/>
          <w:snapToGrid w:val="0"/>
          <w:color w:val="auto"/>
          <w:sz w:val="21"/>
          <w:szCs w:val="21"/>
          <w:highlight w:val="none"/>
          <w:lang w:eastAsia="zh-CN"/>
        </w:rPr>
      </w:pPr>
      <w:r>
        <w:rPr>
          <w:rFonts w:hint="eastAsia"/>
          <w:snapToGrid w:val="0"/>
          <w:color w:val="auto"/>
          <w:sz w:val="21"/>
          <w:szCs w:val="21"/>
          <w:highlight w:val="none"/>
          <w:lang w:eastAsia="zh-CN"/>
        </w:rPr>
        <w:t>（6）出席开标会议的相关人员在开标记录上签字确认，</w:t>
      </w:r>
      <w:r>
        <w:rPr>
          <w:rFonts w:hint="eastAsia"/>
          <w:b/>
          <w:snapToGrid w:val="0"/>
          <w:color w:val="auto"/>
          <w:sz w:val="21"/>
          <w:szCs w:val="21"/>
          <w:highlight w:val="none"/>
          <w:u w:val="single"/>
          <w:lang w:eastAsia="zh-CN"/>
        </w:rPr>
        <w:t>未签字的视为认同</w:t>
      </w:r>
      <w:r>
        <w:rPr>
          <w:rFonts w:hint="eastAsia"/>
          <w:snapToGrid w:val="0"/>
          <w:color w:val="auto"/>
          <w:sz w:val="21"/>
          <w:szCs w:val="21"/>
          <w:highlight w:val="none"/>
          <w:lang w:eastAsia="zh-CN"/>
        </w:rPr>
        <w:t>；</w:t>
      </w:r>
    </w:p>
    <w:p w14:paraId="25C959D1">
      <w:pPr>
        <w:adjustRightInd w:val="0"/>
        <w:snapToGrid w:val="0"/>
        <w:spacing w:line="440" w:lineRule="exact"/>
        <w:ind w:firstLine="420" w:firstLineChars="200"/>
        <w:rPr>
          <w:rFonts w:hint="eastAsia"/>
          <w:snapToGrid w:val="0"/>
          <w:color w:val="auto"/>
          <w:sz w:val="21"/>
          <w:szCs w:val="21"/>
          <w:highlight w:val="none"/>
          <w:lang w:eastAsia="zh-CN"/>
        </w:rPr>
      </w:pPr>
      <w:r>
        <w:rPr>
          <w:rFonts w:hint="eastAsia"/>
          <w:snapToGrid w:val="0"/>
          <w:color w:val="auto"/>
          <w:sz w:val="21"/>
          <w:szCs w:val="21"/>
          <w:highlight w:val="none"/>
          <w:lang w:eastAsia="zh-CN"/>
        </w:rPr>
        <w:t>（7）开标结束。</w:t>
      </w:r>
    </w:p>
    <w:p w14:paraId="5F435EB0">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color w:val="auto"/>
          <w:kern w:val="2"/>
          <w:sz w:val="21"/>
          <w:szCs w:val="21"/>
          <w:highlight w:val="none"/>
          <w:lang w:eastAsia="zh-CN"/>
        </w:rPr>
        <w:t>5.2.2投标人对开标有异议的，应当在开标现场提出，招标人应当当场作出答复，并做好记录；如无法现场答复的，可转交评标委员会予以解决。</w:t>
      </w:r>
    </w:p>
    <w:p w14:paraId="450DFCCF">
      <w:pPr>
        <w:adjustRightInd w:val="0"/>
        <w:snapToGrid w:val="0"/>
        <w:spacing w:line="440" w:lineRule="exact"/>
        <w:ind w:firstLine="422" w:firstLineChars="200"/>
        <w:outlineLvl w:val="1"/>
        <w:rPr>
          <w:rFonts w:hint="eastAsia"/>
          <w:b/>
          <w:bCs/>
          <w:color w:val="auto"/>
          <w:sz w:val="21"/>
          <w:szCs w:val="21"/>
          <w:highlight w:val="none"/>
          <w:lang w:eastAsia="zh-CN"/>
        </w:rPr>
      </w:pPr>
      <w:bookmarkStart w:id="78" w:name="_Toc12479"/>
      <w:bookmarkStart w:id="79" w:name="_Toc398107870"/>
      <w:r>
        <w:rPr>
          <w:rFonts w:hint="eastAsia"/>
          <w:b/>
          <w:bCs/>
          <w:color w:val="auto"/>
          <w:sz w:val="21"/>
          <w:szCs w:val="21"/>
          <w:highlight w:val="none"/>
          <w:lang w:eastAsia="zh-CN"/>
        </w:rPr>
        <w:t>6.评标</w:t>
      </w:r>
      <w:bookmarkEnd w:id="78"/>
      <w:bookmarkEnd w:id="79"/>
    </w:p>
    <w:p w14:paraId="6A9852F4">
      <w:pPr>
        <w:adjustRightInd w:val="0"/>
        <w:snapToGrid w:val="0"/>
        <w:spacing w:line="440" w:lineRule="exact"/>
        <w:ind w:firstLine="422" w:firstLineChars="200"/>
        <w:outlineLvl w:val="2"/>
        <w:rPr>
          <w:rFonts w:hint="eastAsia"/>
          <w:b/>
          <w:color w:val="auto"/>
          <w:sz w:val="21"/>
          <w:szCs w:val="21"/>
          <w:highlight w:val="none"/>
          <w:lang w:eastAsia="zh-CN"/>
        </w:rPr>
      </w:pPr>
      <w:bookmarkStart w:id="80" w:name="_Toc398107871"/>
      <w:r>
        <w:rPr>
          <w:rFonts w:hint="eastAsia"/>
          <w:b/>
          <w:color w:val="auto"/>
          <w:sz w:val="21"/>
          <w:szCs w:val="21"/>
          <w:highlight w:val="none"/>
          <w:lang w:eastAsia="zh-CN"/>
        </w:rPr>
        <w:t>6.1评标委员会</w:t>
      </w:r>
      <w:bookmarkEnd w:id="80"/>
    </w:p>
    <w:p w14:paraId="78F9CEBB">
      <w:pPr>
        <w:autoSpaceDE w:val="0"/>
        <w:autoSpaceDN w:val="0"/>
        <w:adjustRightIn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6.1.1评标由招标人依法组建的评标委员会负责。评标委员会由招标人代表以及有关技术、经济等方面的专家组成。</w:t>
      </w:r>
    </w:p>
    <w:p w14:paraId="5D214D07">
      <w:pPr>
        <w:autoSpaceDE w:val="0"/>
        <w:autoSpaceDN w:val="0"/>
        <w:adjustRightIn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6.1.2评标委员会成员有下列情形之一的，应当主动提出回避：</w:t>
      </w:r>
    </w:p>
    <w:p w14:paraId="4F6DA1D8">
      <w:pPr>
        <w:spacing w:line="440" w:lineRule="exact"/>
        <w:ind w:firstLine="420" w:firstLineChars="200"/>
        <w:jc w:val="both"/>
        <w:rPr>
          <w:rFonts w:hint="eastAsia" w:cs="微软雅黑"/>
          <w:color w:val="auto"/>
          <w:kern w:val="2"/>
          <w:sz w:val="21"/>
          <w:szCs w:val="24"/>
          <w:highlight w:val="none"/>
          <w:lang w:eastAsia="zh-CN"/>
        </w:rPr>
      </w:pPr>
      <w:r>
        <w:rPr>
          <w:rFonts w:cs="微软雅黑"/>
          <w:color w:val="auto"/>
          <w:kern w:val="2"/>
          <w:sz w:val="21"/>
          <w:szCs w:val="24"/>
          <w:highlight w:val="none"/>
          <w:lang w:eastAsia="zh-CN"/>
        </w:rPr>
        <w:t>（1）投标人或投标人主要负责人的近亲属；</w:t>
      </w:r>
    </w:p>
    <w:p w14:paraId="16BE6217">
      <w:pPr>
        <w:spacing w:line="440" w:lineRule="exact"/>
        <w:ind w:firstLine="420" w:firstLineChars="200"/>
        <w:jc w:val="both"/>
        <w:rPr>
          <w:rFonts w:hint="eastAsia" w:cs="微软雅黑"/>
          <w:color w:val="auto"/>
          <w:kern w:val="2"/>
          <w:sz w:val="21"/>
          <w:szCs w:val="24"/>
          <w:highlight w:val="none"/>
          <w:lang w:eastAsia="zh-CN"/>
        </w:rPr>
      </w:pPr>
      <w:r>
        <w:rPr>
          <w:rFonts w:cs="微软雅黑"/>
          <w:color w:val="auto"/>
          <w:kern w:val="2"/>
          <w:sz w:val="21"/>
          <w:szCs w:val="24"/>
          <w:highlight w:val="none"/>
          <w:lang w:eastAsia="zh-CN"/>
        </w:rPr>
        <w:t>（2）项目主管部门或者行政监督部门的人员；</w:t>
      </w:r>
    </w:p>
    <w:p w14:paraId="44AC3276">
      <w:pPr>
        <w:spacing w:line="440" w:lineRule="exact"/>
        <w:ind w:firstLine="420" w:firstLineChars="200"/>
        <w:jc w:val="both"/>
        <w:rPr>
          <w:rFonts w:hint="eastAsia" w:cs="微软雅黑"/>
          <w:color w:val="auto"/>
          <w:kern w:val="2"/>
          <w:sz w:val="21"/>
          <w:szCs w:val="24"/>
          <w:highlight w:val="none"/>
          <w:lang w:eastAsia="zh-CN"/>
        </w:rPr>
      </w:pPr>
      <w:r>
        <w:rPr>
          <w:rFonts w:cs="微软雅黑"/>
          <w:color w:val="auto"/>
          <w:kern w:val="2"/>
          <w:sz w:val="21"/>
          <w:szCs w:val="24"/>
          <w:highlight w:val="none"/>
          <w:lang w:eastAsia="zh-CN"/>
        </w:rPr>
        <w:t>（3）与投标人有经济利益关系或其他利害关系，可能影响对投标公正评审的；</w:t>
      </w:r>
    </w:p>
    <w:p w14:paraId="4671DD3A">
      <w:pPr>
        <w:spacing w:line="440" w:lineRule="exact"/>
        <w:ind w:firstLine="420" w:firstLineChars="200"/>
        <w:jc w:val="both"/>
        <w:rPr>
          <w:rFonts w:hint="eastAsia" w:cs="微软雅黑"/>
          <w:color w:val="auto"/>
          <w:kern w:val="2"/>
          <w:sz w:val="21"/>
          <w:szCs w:val="24"/>
          <w:highlight w:val="none"/>
          <w:lang w:eastAsia="zh-CN"/>
        </w:rPr>
      </w:pPr>
      <w:r>
        <w:rPr>
          <w:rFonts w:cs="微软雅黑"/>
          <w:color w:val="auto"/>
          <w:kern w:val="2"/>
          <w:sz w:val="21"/>
          <w:szCs w:val="24"/>
          <w:highlight w:val="none"/>
          <w:lang w:eastAsia="zh-CN"/>
        </w:rPr>
        <w:t>（4）曾因在招标、评标以及其他与招标投标有关活动中从事违法行为而受过行政处罚或刑事处罚的。</w:t>
      </w:r>
    </w:p>
    <w:p w14:paraId="45A8EF4B">
      <w:pPr>
        <w:adjustRightInd w:val="0"/>
        <w:spacing w:line="440" w:lineRule="exact"/>
        <w:ind w:firstLine="422" w:firstLineChars="200"/>
        <w:outlineLvl w:val="2"/>
        <w:rPr>
          <w:rFonts w:hint="eastAsia"/>
          <w:b/>
          <w:color w:val="auto"/>
          <w:sz w:val="21"/>
          <w:szCs w:val="21"/>
          <w:highlight w:val="none"/>
          <w:lang w:eastAsia="zh-CN"/>
        </w:rPr>
      </w:pPr>
      <w:bookmarkStart w:id="81" w:name="_Toc398107872"/>
      <w:r>
        <w:rPr>
          <w:rFonts w:hint="eastAsia"/>
          <w:b/>
          <w:color w:val="auto"/>
          <w:sz w:val="21"/>
          <w:szCs w:val="21"/>
          <w:highlight w:val="none"/>
          <w:lang w:eastAsia="zh-CN"/>
        </w:rPr>
        <w:t>6.2评标原则</w:t>
      </w:r>
      <w:bookmarkEnd w:id="81"/>
    </w:p>
    <w:p w14:paraId="4B9F7594">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评标活动遵循公平、公正、科学和择优的原则。</w:t>
      </w:r>
    </w:p>
    <w:p w14:paraId="1C2605F8">
      <w:pPr>
        <w:adjustRightInd w:val="0"/>
        <w:snapToGrid w:val="0"/>
        <w:spacing w:line="440" w:lineRule="exact"/>
        <w:ind w:firstLine="422" w:firstLineChars="200"/>
        <w:outlineLvl w:val="2"/>
        <w:rPr>
          <w:rFonts w:hint="eastAsia"/>
          <w:b/>
          <w:color w:val="auto"/>
          <w:sz w:val="21"/>
          <w:szCs w:val="21"/>
          <w:highlight w:val="none"/>
          <w:lang w:eastAsia="zh-CN"/>
        </w:rPr>
      </w:pPr>
      <w:bookmarkStart w:id="82" w:name="_Toc398107873"/>
      <w:r>
        <w:rPr>
          <w:rFonts w:hint="eastAsia"/>
          <w:b/>
          <w:color w:val="auto"/>
          <w:sz w:val="21"/>
          <w:szCs w:val="21"/>
          <w:highlight w:val="none"/>
          <w:lang w:eastAsia="zh-CN"/>
        </w:rPr>
        <w:t>6.3评标</w:t>
      </w:r>
      <w:bookmarkEnd w:id="82"/>
    </w:p>
    <w:p w14:paraId="62EEE52F">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评标委员会按照第三章“评标办法”规定的方法、评审因素、标准和程序对投标文件进行评审。招标文件没有规定的方法、评审因素和标准，不作为评标依据。</w:t>
      </w:r>
    </w:p>
    <w:p w14:paraId="2EAD6678">
      <w:pPr>
        <w:autoSpaceDE w:val="0"/>
        <w:autoSpaceDN w:val="0"/>
        <w:adjustRightInd w:val="0"/>
        <w:snapToGrid w:val="0"/>
        <w:spacing w:line="440" w:lineRule="exact"/>
        <w:ind w:firstLine="422" w:firstLineChars="200"/>
        <w:rPr>
          <w:rFonts w:hint="eastAsia"/>
          <w:b/>
          <w:bCs/>
          <w:color w:val="auto"/>
          <w:sz w:val="21"/>
          <w:szCs w:val="21"/>
          <w:highlight w:val="none"/>
          <w:lang w:eastAsia="zh-CN"/>
        </w:rPr>
      </w:pPr>
      <w:r>
        <w:rPr>
          <w:rFonts w:hint="eastAsia"/>
          <w:b/>
          <w:bCs/>
          <w:color w:val="auto"/>
          <w:sz w:val="21"/>
          <w:szCs w:val="21"/>
          <w:highlight w:val="none"/>
          <w:lang w:eastAsia="zh-CN"/>
        </w:rPr>
        <w:t>评标过程中，除出现《中华人民共和国招标投标法实施条例》第二十三条情形外，评标委员会认为因招标文件缺陷无法确定中标候选人或中标人的，招标人应当重新组织招标。</w:t>
      </w:r>
    </w:p>
    <w:p w14:paraId="50F32587">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6.4无效标条款</w:t>
      </w:r>
    </w:p>
    <w:p w14:paraId="1BE93ECD">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投标文件有下列情况之一的，属于重大偏差，视为未能对招标文件作出实质性响应，应当作为无效投标予以否决：</w:t>
      </w:r>
    </w:p>
    <w:p w14:paraId="60E69DE3">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（1）投标文件中的投标函未加盖投标人的公章；</w:t>
      </w:r>
    </w:p>
    <w:p w14:paraId="7B985787">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（2）投标文件中的投标函未加盖企业法定代表人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bCs/>
          <w:color w:val="auto"/>
          <w:kern w:val="2"/>
          <w:sz w:val="21"/>
          <w:szCs w:val="21"/>
          <w:highlight w:val="none"/>
          <w:lang w:eastAsia="zh-CN"/>
        </w:rPr>
        <w:t>或（企业法定代表人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bCs/>
          <w:color w:val="auto"/>
          <w:kern w:val="2"/>
          <w:sz w:val="21"/>
          <w:szCs w:val="21"/>
          <w:highlight w:val="none"/>
          <w:lang w:eastAsia="zh-CN"/>
        </w:rPr>
        <w:t>委托代理人）印章（或签字）的；</w:t>
      </w:r>
    </w:p>
    <w:p w14:paraId="2FF7B317">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（3）如投标函加盖企业法定代表人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bCs/>
          <w:color w:val="auto"/>
          <w:kern w:val="2"/>
          <w:sz w:val="21"/>
          <w:szCs w:val="21"/>
          <w:highlight w:val="none"/>
          <w:lang w:eastAsia="zh-CN"/>
        </w:rPr>
        <w:t>委托代理人印章（或签字）的，企业法定代表人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bCs/>
          <w:color w:val="auto"/>
          <w:kern w:val="2"/>
          <w:sz w:val="21"/>
          <w:szCs w:val="21"/>
          <w:highlight w:val="none"/>
          <w:lang w:eastAsia="zh-CN"/>
        </w:rPr>
        <w:t>委托代理人没有合法、有效的委托书的；</w:t>
      </w:r>
    </w:p>
    <w:p w14:paraId="57417132">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（4）投标人资格条件不符合国家有关规定或招标文件要求的；</w:t>
      </w:r>
    </w:p>
    <w:p w14:paraId="2880AB27">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（5）投标人名称或组织结构与资格预审时不一致的；</w:t>
      </w:r>
    </w:p>
    <w:p w14:paraId="7A921A6F">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（6）除在投标截止时间前经招标人书面同意外，项目负责人与资格预审时不一致的；</w:t>
      </w:r>
    </w:p>
    <w:p w14:paraId="78B41B13">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（7）组成联合体投标未提供联合体各方共同投标协议的；</w:t>
      </w:r>
    </w:p>
    <w:p w14:paraId="18BDC9B4">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（8）在同一招标项目中，联合体成员以自己名义单独投标或者参加其他联合体投标的；</w:t>
      </w:r>
    </w:p>
    <w:p w14:paraId="5B60C62A">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（9）联合体成员与资格预审确定的结果不一致的；</w:t>
      </w:r>
    </w:p>
    <w:p w14:paraId="163F7366">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（10）投标报价低于成本或者高于招标文件设定的最高投标限价的；</w:t>
      </w:r>
    </w:p>
    <w:p w14:paraId="109CA442">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（11）同一投标人提交两个及以上不同的投标文件或者投标报价，但招标文件要求提交备选投标的除外；</w:t>
      </w:r>
    </w:p>
    <w:p w14:paraId="466D24A4">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（12）未按招标文件要求提供投标保证金的；</w:t>
      </w:r>
    </w:p>
    <w:p w14:paraId="78743B10">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（13）投标文件载明的招标项目完成期限超过招标文件规定的期限的；</w:t>
      </w:r>
    </w:p>
    <w:p w14:paraId="6C48D2C8">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（14）明显不符合技术规范、技术标准的要求的；</w:t>
      </w:r>
    </w:p>
    <w:p w14:paraId="509FC04D">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（15）投标文件提出了不能满足招标文件要求或招标人不能接受的验收、计量、价款结算和支付办法的；</w:t>
      </w:r>
    </w:p>
    <w:p w14:paraId="1A2B6AE5">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（16）不同投标人的投标文件以及投标文件制作过程出现了评标委员会认为不应当雷同的情况的；</w:t>
      </w:r>
    </w:p>
    <w:p w14:paraId="734E4642">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（17）以他人的名义投标、串通投标、以行贿手段谋取中标或者以其他弄虚作假方式投标的；</w:t>
      </w:r>
    </w:p>
    <w:p w14:paraId="61AFE9C2">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（18）未按招标文件规定的格式填写，未按投标文件编制要求编写，内容不全或关键字迹模糊、无法辨认的；投标文件的组成不符合招标文件要求；</w:t>
      </w:r>
    </w:p>
    <w:p w14:paraId="35424B66">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（19）未对招标文件中有关工期、投标有效期、质量要求、技术标准和要求、招标范围等实质性内容作出响应的；</w:t>
      </w:r>
    </w:p>
    <w:p w14:paraId="485936B8">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（20）不按评标委员会要求澄清、说明或补正的；</w:t>
      </w:r>
    </w:p>
    <w:p w14:paraId="6BAB7DA5">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（21）代理人或项目负责人未按照本招标文件约定的要求在本单位缴纳社会保险的；</w:t>
      </w:r>
    </w:p>
    <w:p w14:paraId="1B373523">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（22）投标人投标文件中提供的资格审查资料关键信息不齐全、不清晰可辨（钢印除外）；</w:t>
      </w:r>
    </w:p>
    <w:p w14:paraId="1233E7C4">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（23）不同投标人的投标保证金虽然经由投标人自己的基本账户转出，但所需资金来自同一单位或者个人的账户；</w:t>
      </w:r>
    </w:p>
    <w:p w14:paraId="5661872D">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（24）参加投标活动的人员为同一标段或者未划分标段的同一招标项目的其他投标人的在职人员；</w:t>
      </w:r>
    </w:p>
    <w:p w14:paraId="37B07C3B">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（25）投标文件法定代表人</w:t>
      </w:r>
      <w:r>
        <w:rPr>
          <w:rFonts w:hint="eastAsia"/>
          <w:b w:val="0"/>
          <w:bCs w:val="0"/>
          <w:color w:val="auto"/>
          <w:kern w:val="2"/>
          <w:sz w:val="21"/>
          <w:szCs w:val="21"/>
          <w:highlight w:val="none"/>
          <w:lang w:eastAsia="zh-CN"/>
        </w:rPr>
        <w:t>（执行事务合伙人</w:t>
      </w:r>
      <w:r>
        <w:rPr>
          <w:rFonts w:hint="eastAsia"/>
          <w:b w:val="0"/>
          <w:bCs w:val="0"/>
          <w:color w:val="auto"/>
          <w:sz w:val="21"/>
          <w:szCs w:val="21"/>
          <w:highlight w:val="none"/>
          <w:lang w:eastAsia="zh-CN"/>
        </w:rPr>
        <w:t>）</w:t>
      </w:r>
      <w:r>
        <w:rPr>
          <w:rFonts w:hint="eastAsia"/>
          <w:bCs/>
          <w:color w:val="auto"/>
          <w:kern w:val="2"/>
          <w:sz w:val="21"/>
          <w:szCs w:val="21"/>
          <w:highlight w:val="none"/>
          <w:lang w:eastAsia="zh-CN"/>
        </w:rPr>
        <w:t>身份证明、授权委托书（如有）中提供的相关身份证明材料复印件与核验原件信息不一致的；</w:t>
      </w:r>
    </w:p>
    <w:p w14:paraId="1946C807">
      <w:pPr>
        <w:snapToGrid w:val="0"/>
        <w:spacing w:line="440" w:lineRule="exact"/>
        <w:ind w:firstLine="420" w:firstLineChars="200"/>
        <w:jc w:val="both"/>
        <w:rPr>
          <w:rFonts w:hint="eastAsia"/>
          <w:bCs/>
          <w:color w:val="auto"/>
          <w:kern w:val="2"/>
          <w:sz w:val="21"/>
          <w:szCs w:val="21"/>
          <w:highlight w:val="none"/>
          <w:lang w:eastAsia="zh-CN"/>
        </w:rPr>
      </w:pPr>
      <w:r>
        <w:rPr>
          <w:rFonts w:hint="eastAsia"/>
          <w:bCs/>
          <w:color w:val="auto"/>
          <w:kern w:val="2"/>
          <w:sz w:val="21"/>
          <w:szCs w:val="21"/>
          <w:highlight w:val="none"/>
          <w:lang w:eastAsia="zh-CN"/>
        </w:rPr>
        <w:t>（26）出现第二章“投标人须知”第1.4.3项规定的任何一种情形的；</w:t>
      </w:r>
    </w:p>
    <w:p w14:paraId="5724ABFC">
      <w:pPr>
        <w:snapToGrid w:val="0"/>
        <w:spacing w:line="440" w:lineRule="exact"/>
        <w:ind w:firstLine="420" w:firstLineChars="200"/>
        <w:jc w:val="both"/>
        <w:rPr>
          <w:rFonts w:hint="eastAsia"/>
          <w:bCs/>
          <w:color w:val="auto"/>
          <w:kern w:val="2"/>
          <w:sz w:val="21"/>
          <w:szCs w:val="21"/>
          <w:highlight w:val="none"/>
          <w:lang w:eastAsia="zh-CN"/>
        </w:rPr>
      </w:pPr>
      <w:r>
        <w:rPr>
          <w:rFonts w:hint="eastAsia"/>
          <w:bCs/>
          <w:color w:val="auto"/>
          <w:kern w:val="2"/>
          <w:sz w:val="21"/>
          <w:szCs w:val="21"/>
          <w:highlight w:val="none"/>
          <w:lang w:eastAsia="zh-CN"/>
        </w:rPr>
        <w:t>（27）</w:t>
      </w:r>
      <w:r>
        <w:rPr>
          <w:bCs/>
          <w:color w:val="auto"/>
          <w:kern w:val="2"/>
          <w:sz w:val="21"/>
          <w:szCs w:val="21"/>
          <w:highlight w:val="none"/>
          <w:lang w:eastAsia="zh-CN"/>
        </w:rPr>
        <w:t>按招标文件约定应参加开标会的人员，未携带有效的二代身份证（不含临时身份证）参加开标会议或未参加开标会议的</w:t>
      </w:r>
      <w:r>
        <w:rPr>
          <w:rFonts w:hint="eastAsia"/>
          <w:bCs/>
          <w:color w:val="auto"/>
          <w:kern w:val="2"/>
          <w:sz w:val="21"/>
          <w:szCs w:val="21"/>
          <w:highlight w:val="none"/>
          <w:lang w:eastAsia="zh-CN"/>
        </w:rPr>
        <w:t>；</w:t>
      </w:r>
    </w:p>
    <w:p w14:paraId="065C6B32">
      <w:pPr>
        <w:adjustRightInd w:val="0"/>
        <w:snapToGrid w:val="0"/>
        <w:spacing w:line="440" w:lineRule="exact"/>
        <w:ind w:firstLine="420" w:firstLineChars="200"/>
        <w:rPr>
          <w:rFonts w:hint="eastAsia"/>
          <w:bCs/>
          <w:color w:val="auto"/>
          <w:kern w:val="2"/>
          <w:sz w:val="21"/>
          <w:szCs w:val="21"/>
          <w:highlight w:val="none"/>
          <w:lang w:eastAsia="zh-CN"/>
        </w:rPr>
      </w:pPr>
      <w:r>
        <w:rPr>
          <w:rFonts w:hint="eastAsia"/>
          <w:bCs/>
          <w:color w:val="auto"/>
          <w:kern w:val="2"/>
          <w:sz w:val="21"/>
          <w:szCs w:val="21"/>
          <w:highlight w:val="none"/>
          <w:lang w:eastAsia="zh-CN"/>
        </w:rPr>
        <w:t>（28）本招标文件约定的其他无效标情形。</w:t>
      </w:r>
    </w:p>
    <w:p w14:paraId="61313734">
      <w:pPr>
        <w:adjustRightInd w:val="0"/>
        <w:snapToGrid w:val="0"/>
        <w:spacing w:line="440" w:lineRule="exact"/>
        <w:ind w:firstLine="422" w:firstLineChars="200"/>
        <w:rPr>
          <w:rFonts w:hint="eastAsia"/>
          <w:b/>
          <w:color w:val="auto"/>
          <w:kern w:val="2"/>
          <w:sz w:val="21"/>
          <w:szCs w:val="21"/>
          <w:highlight w:val="none"/>
          <w:lang w:eastAsia="zh-CN"/>
        </w:rPr>
      </w:pPr>
      <w:r>
        <w:rPr>
          <w:rFonts w:hint="eastAsia"/>
          <w:b/>
          <w:color w:val="auto"/>
          <w:kern w:val="2"/>
          <w:sz w:val="21"/>
          <w:szCs w:val="21"/>
          <w:highlight w:val="none"/>
          <w:lang w:eastAsia="zh-CN"/>
        </w:rPr>
        <w:t>凡招标文件未明确的无效标条件，评标委员会不得作为判定无效标的依据，评标委员会也不得以不符合招标文件中规定的其他实质性要求作为判定无效标的依据。</w:t>
      </w:r>
    </w:p>
    <w:p w14:paraId="0846183B">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6.5重新招标</w:t>
      </w:r>
    </w:p>
    <w:p w14:paraId="6380D1D7">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本招标项目有下列情形之一的，招标人依法重新招标：</w:t>
      </w:r>
    </w:p>
    <w:p w14:paraId="0A1C6673">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（一）在投标截止时间届满时提交投标文件的投标人少于3个；</w:t>
      </w:r>
    </w:p>
    <w:p w14:paraId="130DDA77">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（二）所有投标均不符合招标文件要求，被评标委员会否决；</w:t>
      </w:r>
    </w:p>
    <w:p w14:paraId="09B28FA7">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（三）有效投标人不足3个的。</w:t>
      </w:r>
    </w:p>
    <w:p w14:paraId="1729764D">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有前款情形重新招标，投标人仍少于3个的，属于必须审批、核准的工程建设项目，报经原审批、核准部门审批、核准后可以不再进行招标；其他工程建设项目，招标人可以自行决定不再进行招标。国家另有规定的，从其规定。</w:t>
      </w:r>
    </w:p>
    <w:p w14:paraId="7F28E048">
      <w:pPr>
        <w:adjustRightInd w:val="0"/>
        <w:snapToGrid w:val="0"/>
        <w:spacing w:line="440" w:lineRule="exact"/>
        <w:ind w:firstLine="422" w:firstLineChars="200"/>
        <w:outlineLvl w:val="1"/>
        <w:rPr>
          <w:rFonts w:hint="eastAsia"/>
          <w:b/>
          <w:bCs/>
          <w:color w:val="auto"/>
          <w:sz w:val="21"/>
          <w:szCs w:val="21"/>
          <w:highlight w:val="none"/>
          <w:lang w:eastAsia="zh-CN"/>
        </w:rPr>
      </w:pPr>
      <w:bookmarkStart w:id="83" w:name="_Toc398107874"/>
      <w:bookmarkStart w:id="84" w:name="_Toc5479"/>
      <w:r>
        <w:rPr>
          <w:rFonts w:hint="eastAsia"/>
          <w:b/>
          <w:bCs/>
          <w:color w:val="auto"/>
          <w:sz w:val="21"/>
          <w:szCs w:val="21"/>
          <w:highlight w:val="none"/>
          <w:lang w:eastAsia="zh-CN"/>
        </w:rPr>
        <w:t>7.评标结果公示</w:t>
      </w:r>
      <w:bookmarkEnd w:id="83"/>
      <w:bookmarkEnd w:id="84"/>
    </w:p>
    <w:p w14:paraId="2290DBDE">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7.1招标人在收到评标报告之日起3日内，在与招标公告相同的发布媒介上对评标结果进行公示，公示期不少于3日。</w:t>
      </w:r>
    </w:p>
    <w:p w14:paraId="686935F2">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7.2投标人或者其他利害关系人对评标结果有异议的，应当在评标结果公示期间向招标人提出异议。招标人自收到异议之日起3日内作出答复，并在作出答复前暂停招标投标活动。</w:t>
      </w:r>
    </w:p>
    <w:p w14:paraId="25E5ED7B">
      <w:pPr>
        <w:adjustRightInd w:val="0"/>
        <w:snapToGrid w:val="0"/>
        <w:spacing w:line="440" w:lineRule="exact"/>
        <w:ind w:firstLine="422" w:firstLineChars="200"/>
        <w:outlineLvl w:val="1"/>
        <w:rPr>
          <w:rFonts w:hint="eastAsia"/>
          <w:b/>
          <w:bCs/>
          <w:color w:val="auto"/>
          <w:sz w:val="21"/>
          <w:szCs w:val="21"/>
          <w:highlight w:val="none"/>
          <w:lang w:eastAsia="zh-CN"/>
        </w:rPr>
      </w:pPr>
      <w:bookmarkStart w:id="85" w:name="_Toc19238"/>
      <w:r>
        <w:rPr>
          <w:rFonts w:hint="eastAsia"/>
          <w:b/>
          <w:bCs/>
          <w:color w:val="auto"/>
          <w:sz w:val="21"/>
          <w:szCs w:val="21"/>
          <w:highlight w:val="none"/>
          <w:lang w:eastAsia="zh-CN"/>
        </w:rPr>
        <w:t>8.合同授予</w:t>
      </w:r>
      <w:bookmarkEnd w:id="76"/>
      <w:bookmarkEnd w:id="85"/>
      <w:bookmarkStart w:id="86" w:name="_bookmark63"/>
      <w:bookmarkEnd w:id="86"/>
      <w:bookmarkStart w:id="87" w:name="_Toc152042343"/>
      <w:bookmarkStart w:id="88" w:name="_Toc144974535"/>
      <w:bookmarkStart w:id="89" w:name="_Toc152045567"/>
      <w:bookmarkStart w:id="90" w:name="_Toc247527592"/>
      <w:bookmarkStart w:id="91" w:name="_Toc300834989"/>
      <w:bookmarkStart w:id="92" w:name="_Toc247513991"/>
      <w:bookmarkStart w:id="93" w:name="_Toc65743931"/>
    </w:p>
    <w:p w14:paraId="20140F06">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8.1定标方式</w:t>
      </w:r>
      <w:bookmarkEnd w:id="87"/>
      <w:bookmarkEnd w:id="88"/>
      <w:bookmarkEnd w:id="89"/>
      <w:bookmarkEnd w:id="90"/>
      <w:bookmarkEnd w:id="91"/>
      <w:bookmarkEnd w:id="92"/>
    </w:p>
    <w:p w14:paraId="16F4E46A">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除投标人须知前附表约定评标委员会直接确定中标人外，招标人依据评标委员会推荐的中标候选人确定中标人，评标委员会推荐中标候选人的人数见投标人须知前附表。</w:t>
      </w:r>
    </w:p>
    <w:p w14:paraId="30DC4A0F">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本招标项目，招标人确定中标候选人中排名第一名的为中标人。排名第一名的中标候选人（或者评标委员会依据招标人的授权直接确定的中标人）放弃中标，或因不可抗力提出不能履行合同，或者被查实存在影响中标结果的违法行为等情形，不符合中标条件的，</w:t>
      </w:r>
      <w:bookmarkStart w:id="94" w:name="_Toc300834990"/>
      <w:r>
        <w:rPr>
          <w:rFonts w:hint="eastAsia"/>
          <w:color w:val="auto"/>
          <w:sz w:val="21"/>
          <w:szCs w:val="21"/>
          <w:highlight w:val="none"/>
          <w:lang w:eastAsia="zh-CN"/>
        </w:rPr>
        <w:t>招标人直接重新招标。</w:t>
      </w:r>
    </w:p>
    <w:bookmarkEnd w:id="93"/>
    <w:bookmarkEnd w:id="94"/>
    <w:p w14:paraId="25195FB8">
      <w:pPr>
        <w:adjustRightInd w:val="0"/>
        <w:snapToGrid w:val="0"/>
        <w:spacing w:line="440" w:lineRule="exact"/>
        <w:ind w:firstLine="422" w:firstLineChars="200"/>
        <w:outlineLvl w:val="2"/>
        <w:rPr>
          <w:rFonts w:hint="eastAsia"/>
          <w:b/>
          <w:color w:val="auto"/>
          <w:sz w:val="21"/>
          <w:szCs w:val="21"/>
          <w:highlight w:val="none"/>
          <w:lang w:eastAsia="zh-CN"/>
        </w:rPr>
      </w:pPr>
      <w:bookmarkStart w:id="95" w:name="_Toc65743934"/>
      <w:r>
        <w:rPr>
          <w:rFonts w:hint="eastAsia"/>
          <w:b/>
          <w:color w:val="auto"/>
          <w:sz w:val="21"/>
          <w:szCs w:val="21"/>
          <w:highlight w:val="none"/>
          <w:lang w:eastAsia="zh-CN"/>
        </w:rPr>
        <w:t>8.2中标通知</w:t>
      </w:r>
    </w:p>
    <w:p w14:paraId="71386CCE">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评标结果公示期间无异议的，招标人在本招标文件规定的投标有效期内以书面形式向中标人发出中标通知书。</w:t>
      </w:r>
    </w:p>
    <w:p w14:paraId="32EE98FF">
      <w:pPr>
        <w:adjustRightInd w:val="0"/>
        <w:snapToGrid w:val="0"/>
        <w:spacing w:line="440" w:lineRule="exact"/>
        <w:ind w:firstLine="422" w:firstLineChars="200"/>
        <w:outlineLvl w:val="2"/>
        <w:rPr>
          <w:rFonts w:hint="eastAsia"/>
          <w:b/>
          <w:color w:val="auto"/>
          <w:sz w:val="21"/>
          <w:szCs w:val="21"/>
          <w:highlight w:val="none"/>
          <w:lang w:eastAsia="zh-CN"/>
        </w:rPr>
      </w:pPr>
      <w:r>
        <w:rPr>
          <w:rFonts w:hint="eastAsia"/>
          <w:b/>
          <w:color w:val="auto"/>
          <w:sz w:val="21"/>
          <w:szCs w:val="21"/>
          <w:highlight w:val="none"/>
          <w:lang w:eastAsia="zh-CN"/>
        </w:rPr>
        <w:t>8.3履约担保</w:t>
      </w:r>
    </w:p>
    <w:p w14:paraId="6D56E00E">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8.3.1本项目履约保证金要求见投标人须知前附表。</w:t>
      </w:r>
    </w:p>
    <w:p w14:paraId="6A3F6E17">
      <w:pPr>
        <w:adjustRightInd w:val="0"/>
        <w:snapToGrid w:val="0"/>
        <w:spacing w:line="440" w:lineRule="exact"/>
        <w:ind w:firstLine="420" w:firstLineChars="200"/>
        <w:rPr>
          <w:rFonts w:hint="eastAsia"/>
          <w:color w:val="auto"/>
          <w:kern w:val="2"/>
          <w:sz w:val="21"/>
          <w:szCs w:val="21"/>
          <w:highlight w:val="none"/>
          <w:lang w:eastAsia="zh-CN"/>
        </w:rPr>
      </w:pPr>
      <w:r>
        <w:rPr>
          <w:rFonts w:hint="eastAsia"/>
          <w:color w:val="auto"/>
          <w:kern w:val="2"/>
          <w:sz w:val="21"/>
          <w:szCs w:val="21"/>
          <w:highlight w:val="none"/>
          <w:lang w:eastAsia="zh-CN"/>
        </w:rPr>
        <w:t>8.3.2中标人不能按本章第8.3.1项要求提交履约担保的，视为放弃中标，其投标保证金不予退还，给招标人造成的损失超过投标保证金数额的，中标人还应当对超过部分予以赔偿。</w:t>
      </w:r>
    </w:p>
    <w:p w14:paraId="26C88768">
      <w:pPr>
        <w:adjustRightInd w:val="0"/>
        <w:snapToGrid w:val="0"/>
        <w:spacing w:line="440" w:lineRule="exact"/>
        <w:ind w:firstLine="422" w:firstLineChars="200"/>
        <w:rPr>
          <w:rFonts w:hint="eastAsia"/>
          <w:b/>
          <w:bCs/>
          <w:color w:val="auto"/>
          <w:kern w:val="2"/>
          <w:sz w:val="21"/>
          <w:szCs w:val="21"/>
          <w:highlight w:val="none"/>
          <w:lang w:eastAsia="zh-CN"/>
        </w:rPr>
      </w:pPr>
      <w:r>
        <w:rPr>
          <w:rFonts w:hint="eastAsia"/>
          <w:b/>
          <w:bCs/>
          <w:color w:val="auto"/>
          <w:kern w:val="2"/>
          <w:sz w:val="21"/>
          <w:szCs w:val="21"/>
          <w:highlight w:val="none"/>
          <w:lang w:val="zh-CN" w:eastAsia="zh-CN"/>
        </w:rPr>
        <w:t>履约保证金退还方式：提交全部合格评估报告后且无违约情形下一次性无息退还（如遇特殊情况，可通过会商形式确定退还方式和比例）</w:t>
      </w:r>
      <w:r>
        <w:rPr>
          <w:rFonts w:hint="eastAsia"/>
          <w:b/>
          <w:bCs/>
          <w:color w:val="auto"/>
          <w:sz w:val="21"/>
          <w:szCs w:val="21"/>
          <w:highlight w:val="none"/>
          <w:lang w:eastAsia="zh-CN"/>
        </w:rPr>
        <w:t>。</w:t>
      </w:r>
    </w:p>
    <w:p w14:paraId="78DD5BB6">
      <w:pPr>
        <w:adjustRightInd w:val="0"/>
        <w:snapToGrid w:val="0"/>
        <w:spacing w:line="440" w:lineRule="exact"/>
        <w:ind w:firstLine="422" w:firstLineChars="200"/>
        <w:outlineLvl w:val="2"/>
        <w:rPr>
          <w:rFonts w:hint="eastAsia"/>
          <w:b/>
          <w:color w:val="auto"/>
          <w:sz w:val="21"/>
          <w:szCs w:val="21"/>
          <w:highlight w:val="none"/>
          <w:lang w:eastAsia="zh-CN"/>
        </w:rPr>
      </w:pPr>
      <w:bookmarkStart w:id="96" w:name="_Toc398107878"/>
      <w:r>
        <w:rPr>
          <w:rFonts w:hint="eastAsia"/>
          <w:b/>
          <w:color w:val="auto"/>
          <w:sz w:val="21"/>
          <w:szCs w:val="21"/>
          <w:highlight w:val="none"/>
          <w:lang w:eastAsia="zh-CN"/>
        </w:rPr>
        <w:t>8.4签订合同</w:t>
      </w:r>
      <w:bookmarkEnd w:id="96"/>
    </w:p>
    <w:p w14:paraId="2C148716">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8.4.1招标人和中标人应当自中标通知书发出之日起30天内，根据招标文件和中标人的投标文件订立书面合同。中标人无正当理由拒签合同的、</w:t>
      </w:r>
      <w:r>
        <w:rPr>
          <w:rFonts w:hint="eastAsia"/>
          <w:color w:val="auto"/>
          <w:kern w:val="2"/>
          <w:sz w:val="21"/>
          <w:szCs w:val="21"/>
          <w:highlight w:val="none"/>
          <w:lang w:eastAsia="zh-CN"/>
        </w:rPr>
        <w:t>在签订合同时向招标人提出附加条件或者更改合同实质性内容的，</w:t>
      </w:r>
      <w:r>
        <w:rPr>
          <w:rFonts w:hint="eastAsia"/>
          <w:color w:val="auto"/>
          <w:sz w:val="21"/>
          <w:szCs w:val="21"/>
          <w:highlight w:val="none"/>
          <w:lang w:eastAsia="zh-CN"/>
        </w:rPr>
        <w:t>招标人可取消其中标资格，其保证金不予退还；给招标人造成的损失超过投标保证金数额的，中标人还应当对超过部分予以赔偿。</w:t>
      </w:r>
    </w:p>
    <w:p w14:paraId="55E8EAEC">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8.4.2发出中标通知书后，招标人无正当理由拒签合同的</w:t>
      </w:r>
      <w:r>
        <w:rPr>
          <w:rFonts w:hint="eastAsia"/>
          <w:color w:val="auto"/>
          <w:kern w:val="2"/>
          <w:sz w:val="21"/>
          <w:szCs w:val="21"/>
          <w:highlight w:val="none"/>
          <w:lang w:eastAsia="zh-CN"/>
        </w:rPr>
        <w:t>、在订立合同时向中标人提出附加条件的，给他人造成损失的，依法承担赔偿责任</w:t>
      </w:r>
      <w:r>
        <w:rPr>
          <w:rFonts w:hint="eastAsia"/>
          <w:color w:val="auto"/>
          <w:sz w:val="21"/>
          <w:szCs w:val="21"/>
          <w:highlight w:val="none"/>
          <w:lang w:eastAsia="zh-CN"/>
        </w:rPr>
        <w:t>，招标人向中标人退还投标保证金；给中标人造成损失的，还应当赔偿损失。</w:t>
      </w:r>
    </w:p>
    <w:bookmarkEnd w:id="95"/>
    <w:p w14:paraId="729543DF">
      <w:pPr>
        <w:adjustRightInd w:val="0"/>
        <w:snapToGrid w:val="0"/>
        <w:spacing w:line="440" w:lineRule="exact"/>
        <w:ind w:firstLine="422" w:firstLineChars="200"/>
        <w:outlineLvl w:val="1"/>
        <w:rPr>
          <w:rFonts w:hint="eastAsia"/>
          <w:b/>
          <w:bCs/>
          <w:color w:val="auto"/>
          <w:sz w:val="21"/>
          <w:szCs w:val="21"/>
          <w:highlight w:val="none"/>
          <w:lang w:eastAsia="zh-CN"/>
        </w:rPr>
      </w:pPr>
      <w:bookmarkStart w:id="97" w:name="_Toc23544"/>
      <w:r>
        <w:rPr>
          <w:rFonts w:hint="eastAsia"/>
          <w:b/>
          <w:bCs/>
          <w:color w:val="auto"/>
          <w:sz w:val="21"/>
          <w:szCs w:val="21"/>
          <w:highlight w:val="none"/>
          <w:lang w:eastAsia="zh-CN"/>
        </w:rPr>
        <w:t>9</w:t>
      </w:r>
      <w:bookmarkStart w:id="98" w:name="_Toc398107879"/>
      <w:r>
        <w:rPr>
          <w:rFonts w:hint="eastAsia"/>
          <w:b/>
          <w:bCs/>
          <w:color w:val="auto"/>
          <w:sz w:val="21"/>
          <w:szCs w:val="21"/>
          <w:highlight w:val="none"/>
          <w:lang w:eastAsia="zh-CN"/>
        </w:rPr>
        <w:t>.纪律和监督</w:t>
      </w:r>
      <w:bookmarkEnd w:id="97"/>
      <w:bookmarkEnd w:id="98"/>
    </w:p>
    <w:p w14:paraId="376D0E87">
      <w:pPr>
        <w:adjustRightInd w:val="0"/>
        <w:snapToGrid w:val="0"/>
        <w:spacing w:line="440" w:lineRule="exact"/>
        <w:ind w:firstLine="420" w:firstLineChars="200"/>
        <w:rPr>
          <w:rFonts w:hint="eastAsia"/>
          <w:color w:val="auto"/>
          <w:sz w:val="21"/>
          <w:szCs w:val="21"/>
          <w:highlight w:val="none"/>
          <w:lang w:eastAsia="zh-CN"/>
        </w:rPr>
      </w:pPr>
      <w:bookmarkStart w:id="99" w:name="_Toc398107880"/>
      <w:r>
        <w:rPr>
          <w:rFonts w:hint="eastAsia"/>
          <w:color w:val="auto"/>
          <w:sz w:val="21"/>
          <w:szCs w:val="21"/>
          <w:highlight w:val="none"/>
          <w:lang w:eastAsia="zh-CN"/>
        </w:rPr>
        <w:t>9.1对招标人的纪律要求</w:t>
      </w:r>
      <w:bookmarkEnd w:id="99"/>
    </w:p>
    <w:p w14:paraId="3223EE69">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招标人不得泄露招标投标活动中应当保密的情况和资料，不得与投标人串通损害国家利益、社会公共利益或者他人合法权益。</w:t>
      </w:r>
    </w:p>
    <w:p w14:paraId="0A0C4E0D">
      <w:pPr>
        <w:adjustRightInd w:val="0"/>
        <w:snapToGrid w:val="0"/>
        <w:spacing w:line="440" w:lineRule="exact"/>
        <w:ind w:firstLine="420" w:firstLineChars="200"/>
        <w:rPr>
          <w:rFonts w:hint="eastAsia"/>
          <w:color w:val="auto"/>
          <w:sz w:val="21"/>
          <w:szCs w:val="21"/>
          <w:highlight w:val="none"/>
          <w:lang w:eastAsia="zh-CN"/>
        </w:rPr>
      </w:pPr>
      <w:bookmarkStart w:id="100" w:name="_Toc398107881"/>
      <w:r>
        <w:rPr>
          <w:rFonts w:hint="eastAsia"/>
          <w:color w:val="auto"/>
          <w:sz w:val="21"/>
          <w:szCs w:val="21"/>
          <w:highlight w:val="none"/>
          <w:lang w:eastAsia="zh-CN"/>
        </w:rPr>
        <w:t>9.2对投标人的纪律要求</w:t>
      </w:r>
      <w:bookmarkEnd w:id="100"/>
    </w:p>
    <w:p w14:paraId="2BE83A5F">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56EC1FF">
      <w:pPr>
        <w:adjustRightInd w:val="0"/>
        <w:snapToGrid w:val="0"/>
        <w:spacing w:line="440" w:lineRule="exact"/>
        <w:ind w:firstLine="420" w:firstLineChars="200"/>
        <w:rPr>
          <w:rFonts w:hint="eastAsia"/>
          <w:color w:val="auto"/>
          <w:sz w:val="21"/>
          <w:szCs w:val="21"/>
          <w:highlight w:val="none"/>
          <w:lang w:eastAsia="zh-CN"/>
        </w:rPr>
      </w:pPr>
      <w:bookmarkStart w:id="101" w:name="_Toc398107882"/>
      <w:r>
        <w:rPr>
          <w:rFonts w:hint="eastAsia"/>
          <w:color w:val="auto"/>
          <w:sz w:val="21"/>
          <w:szCs w:val="21"/>
          <w:highlight w:val="none"/>
          <w:lang w:eastAsia="zh-CN"/>
        </w:rPr>
        <w:t>9.3对评标委员会成员的纪律要求</w:t>
      </w:r>
      <w:bookmarkEnd w:id="101"/>
    </w:p>
    <w:p w14:paraId="1FFA8AFF">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招标文件规定以外的评审因素和标准进行评标。</w:t>
      </w:r>
    </w:p>
    <w:p w14:paraId="43D11FD7">
      <w:pPr>
        <w:adjustRightInd w:val="0"/>
        <w:snapToGrid w:val="0"/>
        <w:spacing w:line="440" w:lineRule="exact"/>
        <w:ind w:firstLine="420" w:firstLineChars="200"/>
        <w:rPr>
          <w:rFonts w:hint="eastAsia"/>
          <w:color w:val="auto"/>
          <w:sz w:val="21"/>
          <w:szCs w:val="21"/>
          <w:highlight w:val="none"/>
          <w:lang w:eastAsia="zh-CN"/>
        </w:rPr>
      </w:pPr>
      <w:bookmarkStart w:id="102" w:name="_Toc398107883"/>
      <w:r>
        <w:rPr>
          <w:rFonts w:hint="eastAsia"/>
          <w:color w:val="auto"/>
          <w:sz w:val="21"/>
          <w:szCs w:val="21"/>
          <w:highlight w:val="none"/>
          <w:lang w:eastAsia="zh-CN"/>
        </w:rPr>
        <w:t>9.4对与评标活动有关的工作人员的纪律要求</w:t>
      </w:r>
      <w:bookmarkEnd w:id="102"/>
    </w:p>
    <w:p w14:paraId="20E152B9">
      <w:pPr>
        <w:autoSpaceDE w:val="0"/>
        <w:autoSpaceDN w:val="0"/>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8306C43">
      <w:pPr>
        <w:adjustRightInd w:val="0"/>
        <w:snapToGrid w:val="0"/>
        <w:spacing w:line="440" w:lineRule="exact"/>
        <w:ind w:firstLine="422" w:firstLineChars="200"/>
        <w:outlineLvl w:val="1"/>
        <w:rPr>
          <w:rFonts w:hint="eastAsia"/>
          <w:b/>
          <w:bCs/>
          <w:color w:val="auto"/>
          <w:sz w:val="21"/>
          <w:szCs w:val="21"/>
          <w:highlight w:val="none"/>
          <w:lang w:eastAsia="zh-CN"/>
        </w:rPr>
      </w:pPr>
      <w:bookmarkStart w:id="103" w:name="_Toc398107885"/>
      <w:bookmarkStart w:id="104" w:name="_Toc15300"/>
      <w:r>
        <w:rPr>
          <w:rFonts w:hint="eastAsia"/>
          <w:b/>
          <w:bCs/>
          <w:color w:val="auto"/>
          <w:sz w:val="21"/>
          <w:szCs w:val="21"/>
          <w:highlight w:val="none"/>
          <w:lang w:eastAsia="zh-CN"/>
        </w:rPr>
        <w:t>10.需要补充的其他内容</w:t>
      </w:r>
      <w:bookmarkEnd w:id="103"/>
      <w:bookmarkEnd w:id="104"/>
    </w:p>
    <w:p w14:paraId="4D81F32A">
      <w:pPr>
        <w:adjustRightInd w:val="0"/>
        <w:snapToGrid w:val="0"/>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10.1本招标文件未尽事宜，按国家和省法律法规、规章要求处理。</w:t>
      </w:r>
    </w:p>
    <w:p w14:paraId="08B84C81">
      <w:pPr>
        <w:pStyle w:val="2"/>
        <w:keepNext w:val="0"/>
        <w:keepLines w:val="0"/>
        <w:adjustRightInd w:val="0"/>
        <w:snapToGrid w:val="0"/>
        <w:spacing w:before="312" w:after="312" w:line="460" w:lineRule="exact"/>
        <w:jc w:val="center"/>
        <w:rPr>
          <w:rFonts w:hint="eastAsia"/>
          <w:color w:val="auto"/>
          <w:sz w:val="21"/>
          <w:szCs w:val="21"/>
          <w:highlight w:val="none"/>
          <w:lang w:eastAsia="zh-CN"/>
        </w:rPr>
        <w:sectPr>
          <w:footerReference r:id="rId5" w:type="default"/>
          <w:pgSz w:w="11906" w:h="16838"/>
          <w:pgMar w:top="1440" w:right="1417" w:bottom="1440" w:left="1417" w:header="851" w:footer="992" w:gutter="0"/>
          <w:pgNumType w:start="1"/>
          <w:cols w:space="720" w:num="1"/>
          <w:docGrid w:type="lines" w:linePitch="312" w:charSpace="0"/>
        </w:sectPr>
      </w:pPr>
    </w:p>
    <w:p w14:paraId="66272FF0">
      <w:pPr>
        <w:pStyle w:val="65"/>
        <w:spacing w:before="240" w:after="240" w:line="360" w:lineRule="auto"/>
        <w:rPr>
          <w:rFonts w:hint="eastAsia"/>
          <w:color w:val="auto"/>
          <w:sz w:val="36"/>
          <w:szCs w:val="36"/>
          <w:highlight w:val="none"/>
        </w:rPr>
      </w:pPr>
      <w:bookmarkStart w:id="105" w:name="_Toc65742941"/>
      <w:bookmarkStart w:id="106" w:name="_Toc96353835"/>
      <w:bookmarkStart w:id="107" w:name="_Toc11338"/>
      <w:bookmarkStart w:id="108" w:name="_Toc68685053"/>
      <w:bookmarkStart w:id="109" w:name="_Toc65743942"/>
      <w:bookmarkStart w:id="110" w:name="_Toc8031846"/>
      <w:bookmarkStart w:id="111" w:name="_Toc65743840"/>
      <w:r>
        <w:rPr>
          <w:rFonts w:hint="eastAsia"/>
          <w:color w:val="auto"/>
          <w:sz w:val="36"/>
          <w:szCs w:val="36"/>
          <w:highlight w:val="none"/>
        </w:rPr>
        <w:t>第三章 评标办法</w:t>
      </w:r>
      <w:bookmarkEnd w:id="105"/>
      <w:bookmarkEnd w:id="106"/>
      <w:bookmarkEnd w:id="107"/>
      <w:bookmarkEnd w:id="108"/>
      <w:bookmarkEnd w:id="109"/>
      <w:bookmarkEnd w:id="110"/>
      <w:bookmarkEnd w:id="111"/>
      <w:bookmarkStart w:id="112" w:name="_bookmark86"/>
      <w:bookmarkEnd w:id="112"/>
      <w:bookmarkStart w:id="113" w:name="OLE_LINK6"/>
    </w:p>
    <w:p w14:paraId="166594C3">
      <w:pPr>
        <w:jc w:val="center"/>
        <w:rPr>
          <w:rFonts w:hint="eastAsia" w:ascii="宋体" w:hAnsi="宋体"/>
          <w:b/>
          <w:color w:val="auto"/>
          <w:sz w:val="21"/>
          <w:szCs w:val="21"/>
          <w:highlight w:val="none"/>
        </w:rPr>
      </w:pPr>
      <w:bookmarkStart w:id="114" w:name="_Hlk159614873"/>
      <w:bookmarkStart w:id="115" w:name="_Hlk117445950"/>
      <w:r>
        <w:rPr>
          <w:rFonts w:hint="eastAsia" w:ascii="宋体" w:hAnsi="宋体"/>
          <w:b/>
          <w:color w:val="auto"/>
          <w:sz w:val="21"/>
          <w:szCs w:val="21"/>
          <w:highlight w:val="none"/>
        </w:rPr>
        <w:t>评标办法前附表</w:t>
      </w:r>
    </w:p>
    <w:tbl>
      <w:tblPr>
        <w:tblStyle w:val="44"/>
        <w:tblW w:w="9356" w:type="dxa"/>
        <w:tblInd w:w="-176" w:type="dxa"/>
        <w:tblLayout w:type="fixed"/>
        <w:tblCellMar>
          <w:top w:w="11" w:type="dxa"/>
          <w:left w:w="108" w:type="dxa"/>
          <w:bottom w:w="11" w:type="dxa"/>
          <w:right w:w="108" w:type="dxa"/>
        </w:tblCellMar>
      </w:tblPr>
      <w:tblGrid>
        <w:gridCol w:w="1418"/>
        <w:gridCol w:w="2410"/>
        <w:gridCol w:w="5528"/>
      </w:tblGrid>
      <w:tr w14:paraId="470F1E74">
        <w:tblPrEx>
          <w:tblCellMar>
            <w:top w:w="11" w:type="dxa"/>
            <w:left w:w="108" w:type="dxa"/>
            <w:bottom w:w="11" w:type="dxa"/>
            <w:right w:w="108" w:type="dxa"/>
          </w:tblCellMar>
        </w:tblPrEx>
        <w:trPr>
          <w:trHeight w:val="454" w:hRule="atLeast"/>
        </w:trPr>
        <w:tc>
          <w:tcPr>
            <w:tcW w:w="9356" w:type="dxa"/>
            <w:gridSpan w:val="3"/>
            <w:tcBorders>
              <w:top w:val="single" w:color="auto" w:sz="4" w:space="0"/>
              <w:left w:val="single" w:color="auto" w:sz="4" w:space="0"/>
              <w:bottom w:val="single" w:color="auto" w:sz="4" w:space="0"/>
              <w:right w:val="single" w:color="auto" w:sz="4" w:space="0"/>
            </w:tcBorders>
            <w:noWrap w:val="0"/>
            <w:vAlign w:val="center"/>
          </w:tcPr>
          <w:p w14:paraId="5B17328E">
            <w:pPr>
              <w:widowControl/>
              <w:spacing w:line="36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初步评审</w:t>
            </w:r>
          </w:p>
        </w:tc>
      </w:tr>
      <w:tr w14:paraId="5FCFF50E">
        <w:tblPrEx>
          <w:tblCellMar>
            <w:top w:w="11" w:type="dxa"/>
            <w:left w:w="108" w:type="dxa"/>
            <w:bottom w:w="11" w:type="dxa"/>
            <w:right w:w="108" w:type="dxa"/>
          </w:tblCellMar>
        </w:tblPrEx>
        <w:trPr>
          <w:trHeight w:val="45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1841A778">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条款</w:t>
            </w:r>
          </w:p>
        </w:tc>
        <w:tc>
          <w:tcPr>
            <w:tcW w:w="2410" w:type="dxa"/>
            <w:tcBorders>
              <w:top w:val="single" w:color="auto" w:sz="4" w:space="0"/>
              <w:left w:val="nil"/>
              <w:bottom w:val="single" w:color="auto" w:sz="4" w:space="0"/>
              <w:right w:val="single" w:color="auto" w:sz="4" w:space="0"/>
            </w:tcBorders>
            <w:noWrap w:val="0"/>
            <w:vAlign w:val="center"/>
          </w:tcPr>
          <w:p w14:paraId="1D73374D">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5528" w:type="dxa"/>
            <w:tcBorders>
              <w:top w:val="single" w:color="auto" w:sz="4" w:space="0"/>
              <w:left w:val="nil"/>
              <w:bottom w:val="single" w:color="auto" w:sz="4" w:space="0"/>
              <w:right w:val="single" w:color="auto" w:sz="4" w:space="0"/>
            </w:tcBorders>
            <w:noWrap w:val="0"/>
            <w:vAlign w:val="center"/>
          </w:tcPr>
          <w:p w14:paraId="47E61A20">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评审标准</w:t>
            </w:r>
          </w:p>
        </w:tc>
      </w:tr>
      <w:tr w14:paraId="6D6B3DB2">
        <w:tblPrEx>
          <w:tblCellMar>
            <w:top w:w="11" w:type="dxa"/>
            <w:left w:w="108" w:type="dxa"/>
            <w:bottom w:w="11" w:type="dxa"/>
            <w:right w:w="108" w:type="dxa"/>
          </w:tblCellMar>
        </w:tblPrEx>
        <w:trPr>
          <w:trHeight w:val="510" w:hRule="atLeast"/>
        </w:trPr>
        <w:tc>
          <w:tcPr>
            <w:tcW w:w="1418" w:type="dxa"/>
            <w:vMerge w:val="restart"/>
            <w:tcBorders>
              <w:top w:val="nil"/>
              <w:left w:val="single" w:color="auto" w:sz="4" w:space="0"/>
              <w:right w:val="single" w:color="auto" w:sz="4" w:space="0"/>
            </w:tcBorders>
            <w:noWrap w:val="0"/>
            <w:vAlign w:val="center"/>
          </w:tcPr>
          <w:p w14:paraId="457098A2">
            <w:pPr>
              <w:widowControl/>
              <w:spacing w:line="36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资格及符合性评审</w:t>
            </w:r>
          </w:p>
        </w:tc>
        <w:tc>
          <w:tcPr>
            <w:tcW w:w="2410" w:type="dxa"/>
            <w:tcBorders>
              <w:top w:val="nil"/>
              <w:left w:val="nil"/>
              <w:bottom w:val="single" w:color="auto" w:sz="4" w:space="0"/>
              <w:right w:val="single" w:color="auto" w:sz="4" w:space="0"/>
            </w:tcBorders>
            <w:noWrap w:val="0"/>
            <w:vAlign w:val="center"/>
          </w:tcPr>
          <w:p w14:paraId="1B24A041">
            <w:pPr>
              <w:snapToGrid w:val="0"/>
              <w:spacing w:line="460" w:lineRule="exact"/>
              <w:jc w:val="center"/>
              <w:rPr>
                <w:rFonts w:ascii="Times New Roman" w:hAnsi="Times New Roman"/>
                <w:color w:val="auto"/>
                <w:sz w:val="21"/>
                <w:szCs w:val="21"/>
                <w:highlight w:val="none"/>
              </w:rPr>
            </w:pPr>
            <w:r>
              <w:rPr>
                <w:rFonts w:hint="eastAsia"/>
                <w:color w:val="auto"/>
                <w:sz w:val="21"/>
                <w:szCs w:val="21"/>
                <w:highlight w:val="none"/>
              </w:rPr>
              <w:t>营业执照</w:t>
            </w:r>
          </w:p>
        </w:tc>
        <w:tc>
          <w:tcPr>
            <w:tcW w:w="5528" w:type="dxa"/>
            <w:tcBorders>
              <w:top w:val="nil"/>
              <w:left w:val="nil"/>
              <w:bottom w:val="single" w:color="auto" w:sz="4" w:space="0"/>
              <w:right w:val="single" w:color="auto" w:sz="4" w:space="0"/>
            </w:tcBorders>
            <w:noWrap w:val="0"/>
            <w:vAlign w:val="center"/>
          </w:tcPr>
          <w:p w14:paraId="7D6A4E6A">
            <w:pPr>
              <w:snapToGrid w:val="0"/>
              <w:spacing w:line="460" w:lineRule="exact"/>
              <w:rPr>
                <w:rFonts w:ascii="ˎ̥" w:hAnsi="ˎ̥" w:cs="宋体"/>
                <w:bCs/>
                <w:color w:val="auto"/>
                <w:kern w:val="0"/>
                <w:sz w:val="21"/>
                <w:szCs w:val="21"/>
                <w:highlight w:val="none"/>
              </w:rPr>
            </w:pPr>
            <w:r>
              <w:rPr>
                <w:rFonts w:ascii="ˎ̥" w:hAnsi="ˎ̥" w:cs="宋体"/>
                <w:bCs/>
                <w:color w:val="auto"/>
                <w:kern w:val="0"/>
                <w:sz w:val="21"/>
                <w:szCs w:val="21"/>
                <w:highlight w:val="none"/>
              </w:rPr>
              <w:t>有效的营业执照</w:t>
            </w:r>
          </w:p>
        </w:tc>
      </w:tr>
      <w:tr w14:paraId="4C8B9150">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35EEDE7F">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05DEDDBC">
            <w:pPr>
              <w:snapToGrid w:val="0"/>
              <w:spacing w:line="460" w:lineRule="exact"/>
              <w:jc w:val="center"/>
              <w:rPr>
                <w:rFonts w:ascii="Times New Roman" w:hAnsi="Times New Roman"/>
                <w:color w:val="auto"/>
                <w:sz w:val="21"/>
                <w:szCs w:val="21"/>
                <w:highlight w:val="none"/>
              </w:rPr>
            </w:pPr>
            <w:r>
              <w:rPr>
                <w:rFonts w:hint="eastAsia"/>
                <w:color w:val="auto"/>
                <w:sz w:val="21"/>
                <w:szCs w:val="21"/>
                <w:highlight w:val="none"/>
              </w:rPr>
              <w:t>企业资质</w:t>
            </w:r>
          </w:p>
        </w:tc>
        <w:tc>
          <w:tcPr>
            <w:tcW w:w="5528" w:type="dxa"/>
            <w:tcBorders>
              <w:top w:val="nil"/>
              <w:left w:val="nil"/>
              <w:bottom w:val="single" w:color="auto" w:sz="4" w:space="0"/>
              <w:right w:val="single" w:color="auto" w:sz="4" w:space="0"/>
            </w:tcBorders>
            <w:noWrap w:val="0"/>
            <w:vAlign w:val="center"/>
          </w:tcPr>
          <w:p w14:paraId="757CB10E">
            <w:pPr>
              <w:snapToGrid w:val="0"/>
              <w:spacing w:line="460" w:lineRule="exact"/>
              <w:rPr>
                <w:rFonts w:ascii="Times New Roman" w:hAnsi="Times New Roman"/>
                <w:color w:val="auto"/>
                <w:sz w:val="21"/>
                <w:szCs w:val="21"/>
                <w:highlight w:val="none"/>
              </w:rPr>
            </w:pPr>
            <w:r>
              <w:rPr>
                <w:rFonts w:hint="eastAsia" w:ascii="ˎ̥" w:hAnsi="ˎ̥" w:cs="宋体"/>
                <w:bCs/>
                <w:color w:val="auto"/>
                <w:kern w:val="0"/>
                <w:sz w:val="21"/>
                <w:szCs w:val="21"/>
                <w:highlight w:val="none"/>
              </w:rPr>
              <w:t>有效的资产评估机构备案证明</w:t>
            </w:r>
          </w:p>
        </w:tc>
      </w:tr>
      <w:tr w14:paraId="7DA1F31B">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0952FB84">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5DC984A7">
            <w:pPr>
              <w:snapToGrid w:val="0"/>
              <w:spacing w:line="460" w:lineRule="exact"/>
              <w:jc w:val="center"/>
              <w:rPr>
                <w:rFonts w:ascii="Times New Roman" w:hAnsi="Times New Roman"/>
                <w:color w:val="auto"/>
                <w:sz w:val="21"/>
                <w:szCs w:val="21"/>
                <w:highlight w:val="none"/>
              </w:rPr>
            </w:pPr>
            <w:r>
              <w:rPr>
                <w:rFonts w:hint="eastAsia"/>
                <w:color w:val="auto"/>
                <w:sz w:val="21"/>
                <w:szCs w:val="21"/>
                <w:highlight w:val="none"/>
              </w:rPr>
              <w:t>项目负责人资格</w:t>
            </w:r>
          </w:p>
        </w:tc>
        <w:tc>
          <w:tcPr>
            <w:tcW w:w="5528" w:type="dxa"/>
            <w:tcBorders>
              <w:top w:val="nil"/>
              <w:left w:val="nil"/>
              <w:bottom w:val="single" w:color="auto" w:sz="4" w:space="0"/>
              <w:right w:val="single" w:color="auto" w:sz="4" w:space="0"/>
            </w:tcBorders>
            <w:noWrap w:val="0"/>
            <w:vAlign w:val="center"/>
          </w:tcPr>
          <w:p w14:paraId="642A687B">
            <w:pPr>
              <w:spacing w:line="460" w:lineRule="exact"/>
              <w:jc w:val="left"/>
              <w:rPr>
                <w:rFonts w:ascii="Times New Roman" w:hAnsi="Times New Roman"/>
                <w:color w:val="auto"/>
                <w:sz w:val="21"/>
                <w:szCs w:val="21"/>
                <w:highlight w:val="none"/>
              </w:rPr>
            </w:pPr>
            <w:r>
              <w:rPr>
                <w:rFonts w:hint="eastAsia" w:ascii="宋体" w:hAnsi="宋体"/>
                <w:color w:val="auto"/>
                <w:sz w:val="21"/>
                <w:szCs w:val="21"/>
                <w:highlight w:val="none"/>
              </w:rPr>
              <w:t>有效的资产评估师职业资格证书</w:t>
            </w:r>
          </w:p>
        </w:tc>
      </w:tr>
      <w:tr w14:paraId="7E9E3BC9">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5A601275">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1A0E57AC">
            <w:pPr>
              <w:snapToGrid w:val="0"/>
              <w:spacing w:line="460" w:lineRule="exact"/>
              <w:jc w:val="center"/>
              <w:rPr>
                <w:rFonts w:ascii="Times New Roman" w:hAnsi="Times New Roman"/>
                <w:color w:val="auto"/>
                <w:sz w:val="21"/>
                <w:szCs w:val="21"/>
                <w:highlight w:val="none"/>
              </w:rPr>
            </w:pPr>
            <w:r>
              <w:rPr>
                <w:rFonts w:hint="eastAsia"/>
                <w:color w:val="auto"/>
                <w:sz w:val="21"/>
                <w:szCs w:val="21"/>
                <w:highlight w:val="none"/>
              </w:rPr>
              <w:t>投标人名称</w:t>
            </w:r>
          </w:p>
        </w:tc>
        <w:tc>
          <w:tcPr>
            <w:tcW w:w="5528" w:type="dxa"/>
            <w:tcBorders>
              <w:top w:val="nil"/>
              <w:left w:val="nil"/>
              <w:bottom w:val="single" w:color="auto" w:sz="4" w:space="0"/>
              <w:right w:val="single" w:color="auto" w:sz="4" w:space="0"/>
            </w:tcBorders>
            <w:noWrap w:val="0"/>
            <w:vAlign w:val="center"/>
          </w:tcPr>
          <w:p w14:paraId="06DFC617">
            <w:pPr>
              <w:snapToGrid w:val="0"/>
              <w:spacing w:line="460" w:lineRule="exact"/>
              <w:rPr>
                <w:rFonts w:ascii="Times New Roman" w:hAnsi="Times New Roman"/>
                <w:color w:val="auto"/>
                <w:sz w:val="21"/>
                <w:szCs w:val="21"/>
                <w:highlight w:val="none"/>
              </w:rPr>
            </w:pPr>
            <w:r>
              <w:rPr>
                <w:rFonts w:hint="eastAsia"/>
                <w:color w:val="auto"/>
                <w:sz w:val="21"/>
                <w:szCs w:val="21"/>
                <w:highlight w:val="none"/>
              </w:rPr>
              <w:t>与相关证书一致（如企业更名，提供有效证明材料，视同一致）</w:t>
            </w:r>
          </w:p>
        </w:tc>
      </w:tr>
      <w:tr w14:paraId="70F689A5">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7B0CB9CE">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4E27322A">
            <w:pPr>
              <w:snapToGrid w:val="0"/>
              <w:spacing w:line="460" w:lineRule="exact"/>
              <w:jc w:val="center"/>
              <w:rPr>
                <w:rFonts w:ascii="Times New Roman" w:hAnsi="Times New Roman"/>
                <w:color w:val="auto"/>
                <w:sz w:val="21"/>
                <w:szCs w:val="21"/>
                <w:highlight w:val="none"/>
              </w:rPr>
            </w:pPr>
            <w:r>
              <w:rPr>
                <w:color w:val="auto"/>
                <w:sz w:val="21"/>
                <w:szCs w:val="21"/>
                <w:highlight w:val="none"/>
              </w:rPr>
              <w:t>投标函签字盖章</w:t>
            </w:r>
          </w:p>
        </w:tc>
        <w:tc>
          <w:tcPr>
            <w:tcW w:w="5528" w:type="dxa"/>
            <w:tcBorders>
              <w:top w:val="nil"/>
              <w:left w:val="nil"/>
              <w:bottom w:val="single" w:color="auto" w:sz="4" w:space="0"/>
              <w:right w:val="single" w:color="auto" w:sz="4" w:space="0"/>
            </w:tcBorders>
            <w:noWrap w:val="0"/>
            <w:vAlign w:val="center"/>
          </w:tcPr>
          <w:p w14:paraId="3E9C84B4">
            <w:pPr>
              <w:snapToGrid w:val="0"/>
              <w:spacing w:line="460" w:lineRule="exact"/>
              <w:rPr>
                <w:rFonts w:ascii="Times New Roman" w:hAnsi="Times New Roman"/>
                <w:color w:val="auto"/>
                <w:sz w:val="21"/>
                <w:szCs w:val="21"/>
                <w:highlight w:val="none"/>
              </w:rPr>
            </w:pPr>
            <w:r>
              <w:rPr>
                <w:rFonts w:hint="eastAsia"/>
                <w:color w:val="auto"/>
                <w:sz w:val="21"/>
                <w:szCs w:val="21"/>
                <w:highlight w:val="none"/>
              </w:rPr>
              <w:t>符合招标文件签署规定</w:t>
            </w:r>
          </w:p>
        </w:tc>
      </w:tr>
      <w:tr w14:paraId="0AD7882A">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08926442">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75E5C2A0">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投标文件组成及格式</w:t>
            </w:r>
          </w:p>
        </w:tc>
        <w:tc>
          <w:tcPr>
            <w:tcW w:w="5528" w:type="dxa"/>
            <w:tcBorders>
              <w:top w:val="nil"/>
              <w:left w:val="nil"/>
              <w:bottom w:val="single" w:color="auto" w:sz="4" w:space="0"/>
              <w:right w:val="single" w:color="auto" w:sz="4" w:space="0"/>
            </w:tcBorders>
            <w:noWrap w:val="0"/>
            <w:vAlign w:val="center"/>
          </w:tcPr>
          <w:p w14:paraId="0275C600">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符合招标文件规定</w:t>
            </w:r>
          </w:p>
        </w:tc>
      </w:tr>
      <w:tr w14:paraId="33FDCD4C">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2D19EE3D">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325DD904">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投标报价</w:t>
            </w:r>
          </w:p>
        </w:tc>
        <w:tc>
          <w:tcPr>
            <w:tcW w:w="5528" w:type="dxa"/>
            <w:tcBorders>
              <w:top w:val="nil"/>
              <w:left w:val="nil"/>
              <w:bottom w:val="single" w:color="auto" w:sz="4" w:space="0"/>
              <w:right w:val="single" w:color="auto" w:sz="4" w:space="0"/>
            </w:tcBorders>
            <w:noWrap w:val="0"/>
            <w:vAlign w:val="center"/>
          </w:tcPr>
          <w:p w14:paraId="11E9D929">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报价唯一、不低于成本、不高于最高投标限价</w:t>
            </w:r>
          </w:p>
        </w:tc>
      </w:tr>
      <w:tr w14:paraId="08B11AE5">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41FF18C2">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626B21DB">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投标保证金</w:t>
            </w:r>
          </w:p>
        </w:tc>
        <w:tc>
          <w:tcPr>
            <w:tcW w:w="5528" w:type="dxa"/>
            <w:tcBorders>
              <w:top w:val="nil"/>
              <w:left w:val="nil"/>
              <w:bottom w:val="single" w:color="auto" w:sz="4" w:space="0"/>
              <w:right w:val="single" w:color="auto" w:sz="4" w:space="0"/>
            </w:tcBorders>
            <w:noWrap w:val="0"/>
            <w:vAlign w:val="center"/>
          </w:tcPr>
          <w:p w14:paraId="577B9F1E">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符合招标文件规定</w:t>
            </w:r>
          </w:p>
        </w:tc>
      </w:tr>
      <w:tr w14:paraId="3AA9D892">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4C5EA591">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35AED0C3">
            <w:pPr>
              <w:snapToGrid w:val="0"/>
              <w:spacing w:line="460" w:lineRule="exact"/>
              <w:jc w:val="center"/>
              <w:rPr>
                <w:rFonts w:hint="eastAsia" w:ascii="Times New Roman" w:hAnsi="Times New Roman"/>
                <w:color w:val="auto"/>
                <w:sz w:val="21"/>
                <w:szCs w:val="21"/>
                <w:highlight w:val="none"/>
              </w:rPr>
            </w:pPr>
            <w:r>
              <w:rPr>
                <w:rFonts w:hint="eastAsia"/>
                <w:snapToGrid w:val="0"/>
                <w:color w:val="auto"/>
                <w:sz w:val="21"/>
                <w:szCs w:val="21"/>
                <w:highlight w:val="none"/>
                <w:lang w:eastAsia="zh-CN"/>
              </w:rPr>
              <w:t>工期（服务期限）</w:t>
            </w:r>
          </w:p>
        </w:tc>
        <w:tc>
          <w:tcPr>
            <w:tcW w:w="5528" w:type="dxa"/>
            <w:tcBorders>
              <w:top w:val="nil"/>
              <w:left w:val="nil"/>
              <w:bottom w:val="single" w:color="auto" w:sz="4" w:space="0"/>
              <w:right w:val="single" w:color="auto" w:sz="4" w:space="0"/>
            </w:tcBorders>
            <w:noWrap w:val="0"/>
            <w:vAlign w:val="center"/>
          </w:tcPr>
          <w:p w14:paraId="4B4EE667">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符合招标文件规定</w:t>
            </w:r>
          </w:p>
        </w:tc>
      </w:tr>
      <w:tr w14:paraId="7A9E5BF4">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5CE0654D">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1EF02CBF">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质量要求</w:t>
            </w:r>
          </w:p>
        </w:tc>
        <w:tc>
          <w:tcPr>
            <w:tcW w:w="5528" w:type="dxa"/>
            <w:tcBorders>
              <w:top w:val="nil"/>
              <w:left w:val="nil"/>
              <w:bottom w:val="single" w:color="auto" w:sz="4" w:space="0"/>
              <w:right w:val="single" w:color="auto" w:sz="4" w:space="0"/>
            </w:tcBorders>
            <w:noWrap w:val="0"/>
            <w:vAlign w:val="center"/>
          </w:tcPr>
          <w:p w14:paraId="4B21BC46">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符合招标文件规定</w:t>
            </w:r>
          </w:p>
        </w:tc>
      </w:tr>
      <w:tr w14:paraId="6D68E222">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6BEF85C6">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6CF89B08">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付款方式</w:t>
            </w:r>
          </w:p>
        </w:tc>
        <w:tc>
          <w:tcPr>
            <w:tcW w:w="5528" w:type="dxa"/>
            <w:tcBorders>
              <w:top w:val="nil"/>
              <w:left w:val="nil"/>
              <w:bottom w:val="single" w:color="auto" w:sz="4" w:space="0"/>
              <w:right w:val="single" w:color="auto" w:sz="4" w:space="0"/>
            </w:tcBorders>
            <w:noWrap w:val="0"/>
            <w:vAlign w:val="center"/>
          </w:tcPr>
          <w:p w14:paraId="2FC59434">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符合招标文件规定</w:t>
            </w:r>
          </w:p>
        </w:tc>
      </w:tr>
      <w:tr w14:paraId="6B08C736">
        <w:tblPrEx>
          <w:tblCellMar>
            <w:top w:w="11" w:type="dxa"/>
            <w:left w:w="108" w:type="dxa"/>
            <w:bottom w:w="11" w:type="dxa"/>
            <w:right w:w="108" w:type="dxa"/>
          </w:tblCellMar>
        </w:tblPrEx>
        <w:trPr>
          <w:trHeight w:val="510" w:hRule="atLeast"/>
        </w:trPr>
        <w:tc>
          <w:tcPr>
            <w:tcW w:w="1418" w:type="dxa"/>
            <w:vMerge w:val="continue"/>
            <w:tcBorders>
              <w:left w:val="single" w:color="auto" w:sz="4" w:space="0"/>
              <w:right w:val="single" w:color="auto" w:sz="4" w:space="0"/>
            </w:tcBorders>
            <w:noWrap w:val="0"/>
            <w:vAlign w:val="center"/>
          </w:tcPr>
          <w:p w14:paraId="3D080F1D">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4F9E0269">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技术响应</w:t>
            </w:r>
          </w:p>
        </w:tc>
        <w:tc>
          <w:tcPr>
            <w:tcW w:w="5528" w:type="dxa"/>
            <w:tcBorders>
              <w:top w:val="nil"/>
              <w:left w:val="nil"/>
              <w:bottom w:val="single" w:color="auto" w:sz="4" w:space="0"/>
              <w:right w:val="single" w:color="auto" w:sz="4" w:space="0"/>
            </w:tcBorders>
            <w:noWrap w:val="0"/>
            <w:vAlign w:val="center"/>
          </w:tcPr>
          <w:p w14:paraId="74BC17EB">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符合招标文件要求，无重大偏差。</w:t>
            </w:r>
          </w:p>
        </w:tc>
      </w:tr>
      <w:tr w14:paraId="5542B954">
        <w:tblPrEx>
          <w:tblCellMar>
            <w:top w:w="11" w:type="dxa"/>
            <w:left w:w="108" w:type="dxa"/>
            <w:bottom w:w="11"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noWrap w:val="0"/>
            <w:vAlign w:val="center"/>
          </w:tcPr>
          <w:p w14:paraId="2366B464">
            <w:pPr>
              <w:widowControl/>
              <w:spacing w:line="360" w:lineRule="exact"/>
              <w:jc w:val="left"/>
              <w:rPr>
                <w:rFonts w:ascii="宋体" w:hAnsi="宋体" w:cs="宋体"/>
                <w:color w:val="auto"/>
                <w:kern w:val="0"/>
                <w:sz w:val="21"/>
                <w:szCs w:val="21"/>
                <w:highlight w:val="none"/>
              </w:rPr>
            </w:pPr>
          </w:p>
        </w:tc>
        <w:tc>
          <w:tcPr>
            <w:tcW w:w="2410" w:type="dxa"/>
            <w:tcBorders>
              <w:top w:val="nil"/>
              <w:left w:val="nil"/>
              <w:bottom w:val="single" w:color="auto" w:sz="4" w:space="0"/>
              <w:right w:val="single" w:color="auto" w:sz="4" w:space="0"/>
            </w:tcBorders>
            <w:noWrap w:val="0"/>
            <w:vAlign w:val="center"/>
          </w:tcPr>
          <w:p w14:paraId="400D7F15">
            <w:pPr>
              <w:snapToGrid w:val="0"/>
              <w:spacing w:line="460" w:lineRule="exact"/>
              <w:jc w:val="center"/>
              <w:rPr>
                <w:rFonts w:hint="eastAsia" w:ascii="Times New Roman" w:hAnsi="Times New Roman"/>
                <w:color w:val="auto"/>
                <w:sz w:val="21"/>
                <w:szCs w:val="21"/>
                <w:highlight w:val="none"/>
              </w:rPr>
            </w:pPr>
            <w:r>
              <w:rPr>
                <w:rFonts w:hint="eastAsia"/>
                <w:color w:val="auto"/>
                <w:sz w:val="21"/>
                <w:szCs w:val="21"/>
                <w:highlight w:val="none"/>
              </w:rPr>
              <w:t>标书有效性</w:t>
            </w:r>
          </w:p>
        </w:tc>
        <w:tc>
          <w:tcPr>
            <w:tcW w:w="5528" w:type="dxa"/>
            <w:tcBorders>
              <w:top w:val="nil"/>
              <w:left w:val="nil"/>
              <w:bottom w:val="single" w:color="auto" w:sz="4" w:space="0"/>
              <w:right w:val="single" w:color="auto" w:sz="4" w:space="0"/>
            </w:tcBorders>
            <w:noWrap w:val="0"/>
            <w:vAlign w:val="center"/>
          </w:tcPr>
          <w:p w14:paraId="4EE8B09C">
            <w:pPr>
              <w:snapToGrid w:val="0"/>
              <w:spacing w:line="460" w:lineRule="exact"/>
              <w:rPr>
                <w:rFonts w:hint="eastAsia" w:ascii="Times New Roman" w:hAnsi="Times New Roman"/>
                <w:color w:val="auto"/>
                <w:sz w:val="21"/>
                <w:szCs w:val="21"/>
                <w:highlight w:val="none"/>
              </w:rPr>
            </w:pPr>
            <w:r>
              <w:rPr>
                <w:rFonts w:hint="eastAsia"/>
                <w:color w:val="auto"/>
                <w:sz w:val="21"/>
                <w:szCs w:val="21"/>
                <w:highlight w:val="none"/>
              </w:rPr>
              <w:t>不存在“投标人须知6.4条款”的情形</w:t>
            </w:r>
          </w:p>
        </w:tc>
      </w:tr>
      <w:tr w14:paraId="507F56FF">
        <w:tblPrEx>
          <w:tblCellMar>
            <w:top w:w="11" w:type="dxa"/>
            <w:left w:w="108" w:type="dxa"/>
            <w:bottom w:w="11" w:type="dxa"/>
            <w:right w:w="108" w:type="dxa"/>
          </w:tblCellMar>
        </w:tblPrEx>
        <w:trPr>
          <w:trHeight w:val="454" w:hRule="atLeast"/>
        </w:trPr>
        <w:tc>
          <w:tcPr>
            <w:tcW w:w="9356" w:type="dxa"/>
            <w:gridSpan w:val="3"/>
            <w:tcBorders>
              <w:top w:val="single" w:color="auto" w:sz="4" w:space="0"/>
              <w:left w:val="single" w:color="auto" w:sz="4" w:space="0"/>
              <w:bottom w:val="single" w:color="auto" w:sz="4" w:space="0"/>
              <w:right w:val="single" w:color="auto" w:sz="4" w:space="0"/>
            </w:tcBorders>
            <w:noWrap w:val="0"/>
            <w:vAlign w:val="center"/>
          </w:tcPr>
          <w:p w14:paraId="2FD637F6">
            <w:pPr>
              <w:widowControl/>
              <w:spacing w:line="360" w:lineRule="exact"/>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详细评审</w:t>
            </w:r>
          </w:p>
        </w:tc>
      </w:tr>
      <w:tr w14:paraId="0396B90D">
        <w:tblPrEx>
          <w:tblCellMar>
            <w:top w:w="11" w:type="dxa"/>
            <w:left w:w="108" w:type="dxa"/>
            <w:bottom w:w="11" w:type="dxa"/>
            <w:right w:w="108" w:type="dxa"/>
          </w:tblCellMar>
        </w:tblPrEx>
        <w:trPr>
          <w:trHeight w:val="454" w:hRule="atLeast"/>
        </w:trPr>
        <w:tc>
          <w:tcPr>
            <w:tcW w:w="1418" w:type="dxa"/>
            <w:tcBorders>
              <w:top w:val="nil"/>
              <w:left w:val="single" w:color="auto" w:sz="4" w:space="0"/>
              <w:bottom w:val="single" w:color="auto" w:sz="4" w:space="0"/>
              <w:right w:val="single" w:color="auto" w:sz="4" w:space="0"/>
            </w:tcBorders>
            <w:noWrap w:val="0"/>
            <w:vAlign w:val="center"/>
          </w:tcPr>
          <w:p w14:paraId="65824B06">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条款</w:t>
            </w:r>
          </w:p>
        </w:tc>
        <w:tc>
          <w:tcPr>
            <w:tcW w:w="2410" w:type="dxa"/>
            <w:tcBorders>
              <w:top w:val="nil"/>
              <w:left w:val="nil"/>
              <w:bottom w:val="single" w:color="auto" w:sz="4" w:space="0"/>
              <w:right w:val="single" w:color="auto" w:sz="4" w:space="0"/>
            </w:tcBorders>
            <w:noWrap w:val="0"/>
            <w:vAlign w:val="center"/>
          </w:tcPr>
          <w:p w14:paraId="28DF7B9E">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5528" w:type="dxa"/>
            <w:tcBorders>
              <w:top w:val="nil"/>
              <w:left w:val="nil"/>
              <w:bottom w:val="single" w:color="auto" w:sz="4" w:space="0"/>
              <w:right w:val="single" w:color="auto" w:sz="4" w:space="0"/>
            </w:tcBorders>
            <w:noWrap w:val="0"/>
            <w:vAlign w:val="center"/>
          </w:tcPr>
          <w:p w14:paraId="4598A7BE">
            <w:pPr>
              <w:widowControl/>
              <w:spacing w:line="36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评审标准</w:t>
            </w:r>
          </w:p>
        </w:tc>
      </w:tr>
      <w:tr w14:paraId="71C021FE">
        <w:tblPrEx>
          <w:tblCellMar>
            <w:top w:w="11" w:type="dxa"/>
            <w:left w:w="108" w:type="dxa"/>
            <w:bottom w:w="11" w:type="dxa"/>
            <w:right w:w="108" w:type="dxa"/>
          </w:tblCellMar>
        </w:tblPrEx>
        <w:trPr>
          <w:trHeight w:val="653" w:hRule="atLeast"/>
        </w:trPr>
        <w:tc>
          <w:tcPr>
            <w:tcW w:w="1418" w:type="dxa"/>
            <w:vMerge w:val="restart"/>
            <w:tcBorders>
              <w:top w:val="single" w:color="auto" w:sz="4" w:space="0"/>
              <w:left w:val="single" w:color="auto" w:sz="4" w:space="0"/>
              <w:right w:val="single" w:color="auto" w:sz="4" w:space="0"/>
            </w:tcBorders>
            <w:noWrap w:val="0"/>
            <w:vAlign w:val="center"/>
          </w:tcPr>
          <w:p w14:paraId="2A675F7E">
            <w:pPr>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商务评审</w:t>
            </w:r>
          </w:p>
        </w:tc>
        <w:tc>
          <w:tcPr>
            <w:tcW w:w="2410" w:type="dxa"/>
            <w:tcBorders>
              <w:top w:val="single" w:color="auto" w:sz="4" w:space="0"/>
              <w:left w:val="single" w:color="auto" w:sz="4" w:space="0"/>
              <w:right w:val="single" w:color="auto" w:sz="4" w:space="0"/>
            </w:tcBorders>
            <w:noWrap w:val="0"/>
            <w:vAlign w:val="center"/>
          </w:tcPr>
          <w:p w14:paraId="4F1D3374">
            <w:pPr>
              <w:spacing w:line="360" w:lineRule="exact"/>
              <w:rPr>
                <w:rFonts w:ascii="Times New Roman" w:hAnsi="Times New Roman"/>
                <w:color w:val="auto"/>
                <w:sz w:val="21"/>
                <w:szCs w:val="21"/>
                <w:highlight w:val="none"/>
              </w:rPr>
            </w:pPr>
            <w:r>
              <w:rPr>
                <w:rFonts w:ascii="Times New Roman" w:hAnsi="Times New Roman"/>
                <w:color w:val="auto"/>
                <w:sz w:val="21"/>
                <w:szCs w:val="21"/>
                <w:highlight w:val="none"/>
              </w:rPr>
              <w:t>计算评标价（如有）</w:t>
            </w:r>
          </w:p>
        </w:tc>
        <w:tc>
          <w:tcPr>
            <w:tcW w:w="5528" w:type="dxa"/>
            <w:tcBorders>
              <w:top w:val="single" w:color="auto" w:sz="4" w:space="0"/>
              <w:left w:val="nil"/>
              <w:bottom w:val="single" w:color="auto" w:sz="4" w:space="0"/>
              <w:right w:val="single" w:color="auto" w:sz="4" w:space="0"/>
            </w:tcBorders>
            <w:noWrap w:val="0"/>
            <w:vAlign w:val="center"/>
          </w:tcPr>
          <w:p w14:paraId="43701B37">
            <w:pPr>
              <w:spacing w:line="360" w:lineRule="exact"/>
              <w:rPr>
                <w:rFonts w:ascii="Times New Roman" w:hAnsi="Times New Roman"/>
                <w:color w:val="auto"/>
                <w:sz w:val="21"/>
                <w:szCs w:val="21"/>
                <w:highlight w:val="none"/>
              </w:rPr>
            </w:pPr>
            <w:r>
              <w:rPr>
                <w:rFonts w:ascii="Times New Roman" w:hAnsi="Times New Roman"/>
                <w:color w:val="auto"/>
                <w:sz w:val="21"/>
                <w:szCs w:val="21"/>
                <w:highlight w:val="none"/>
              </w:rPr>
              <w:t>按招标文件规定的量化因素和标准进行价格折算，计算投标人评标价</w:t>
            </w:r>
          </w:p>
        </w:tc>
      </w:tr>
      <w:tr w14:paraId="7B5A71E6">
        <w:tblPrEx>
          <w:tblCellMar>
            <w:top w:w="11" w:type="dxa"/>
            <w:left w:w="108" w:type="dxa"/>
            <w:bottom w:w="11" w:type="dxa"/>
            <w:right w:w="108" w:type="dxa"/>
          </w:tblCellMar>
        </w:tblPrEx>
        <w:trPr>
          <w:trHeight w:val="454" w:hRule="atLeast"/>
        </w:trPr>
        <w:tc>
          <w:tcPr>
            <w:tcW w:w="1418" w:type="dxa"/>
            <w:vMerge w:val="continue"/>
            <w:tcBorders>
              <w:left w:val="single" w:color="auto" w:sz="4" w:space="0"/>
              <w:right w:val="single" w:color="auto" w:sz="4" w:space="0"/>
            </w:tcBorders>
            <w:noWrap w:val="0"/>
            <w:vAlign w:val="center"/>
          </w:tcPr>
          <w:p w14:paraId="00481A4B">
            <w:pPr>
              <w:widowControl/>
              <w:spacing w:line="360" w:lineRule="exact"/>
              <w:jc w:val="left"/>
              <w:rPr>
                <w:rFonts w:ascii="宋体" w:hAnsi="宋体" w:cs="宋体"/>
                <w:color w:val="auto"/>
                <w:kern w:val="0"/>
                <w:sz w:val="21"/>
                <w:szCs w:val="21"/>
                <w:highlight w:val="none"/>
              </w:rPr>
            </w:pPr>
          </w:p>
        </w:tc>
        <w:tc>
          <w:tcPr>
            <w:tcW w:w="2410" w:type="dxa"/>
            <w:vMerge w:val="restart"/>
            <w:tcBorders>
              <w:top w:val="single" w:color="auto" w:sz="4" w:space="0"/>
              <w:left w:val="single" w:color="auto" w:sz="4" w:space="0"/>
              <w:right w:val="single" w:color="auto" w:sz="4" w:space="0"/>
            </w:tcBorders>
            <w:noWrap w:val="0"/>
            <w:vAlign w:val="center"/>
          </w:tcPr>
          <w:p w14:paraId="60410F78">
            <w:pPr>
              <w:widowControl/>
              <w:spacing w:line="36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总报价</w:t>
            </w:r>
          </w:p>
        </w:tc>
        <w:tc>
          <w:tcPr>
            <w:tcW w:w="5528" w:type="dxa"/>
            <w:tcBorders>
              <w:top w:val="single" w:color="auto" w:sz="4" w:space="0"/>
              <w:left w:val="nil"/>
              <w:bottom w:val="single" w:color="auto" w:sz="4" w:space="0"/>
              <w:right w:val="single" w:color="auto" w:sz="4" w:space="0"/>
            </w:tcBorders>
            <w:noWrap w:val="0"/>
            <w:vAlign w:val="center"/>
          </w:tcPr>
          <w:p w14:paraId="3B494F03">
            <w:pPr>
              <w:widowControl/>
              <w:spacing w:line="36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评标基准价</w:t>
            </w:r>
            <w:r>
              <w:rPr>
                <w:rFonts w:ascii="Times New Roman" w:hAnsi="Times New Roman" w:cs="宋体"/>
                <w:color w:val="auto"/>
                <w:kern w:val="0"/>
                <w:sz w:val="21"/>
                <w:szCs w:val="21"/>
                <w:highlight w:val="none"/>
              </w:rPr>
              <w:t xml:space="preserve"> =A×K</w:t>
            </w:r>
            <w:r>
              <w:rPr>
                <w:rFonts w:hint="eastAsia" w:ascii="宋体" w:hAnsi="宋体" w:cs="宋体"/>
                <w:color w:val="auto"/>
                <w:kern w:val="0"/>
                <w:sz w:val="21"/>
                <w:szCs w:val="21"/>
                <w:highlight w:val="none"/>
              </w:rPr>
              <w:t>。</w:t>
            </w:r>
          </w:p>
          <w:p w14:paraId="1CAB0B58">
            <w:pPr>
              <w:widowControl/>
              <w:spacing w:line="360" w:lineRule="exact"/>
              <w:jc w:val="left"/>
              <w:rPr>
                <w:rFonts w:hint="eastAsia" w:ascii="宋体" w:hAnsi="宋体" w:cs="宋体"/>
                <w:color w:val="auto"/>
                <w:kern w:val="0"/>
                <w:sz w:val="21"/>
                <w:szCs w:val="21"/>
                <w:highlight w:val="none"/>
              </w:rPr>
            </w:pPr>
            <w:r>
              <w:rPr>
                <w:rFonts w:hint="eastAsia" w:ascii="Times New Roman" w:hAnsi="Times New Roman" w:cs="宋体"/>
                <w:color w:val="auto"/>
                <w:kern w:val="0"/>
                <w:sz w:val="21"/>
                <w:szCs w:val="21"/>
                <w:highlight w:val="none"/>
              </w:rPr>
              <w:t>A值的确定（以有效投标文件的评标价算术平均值为A，计算算术平均值A时：若3≤有效投标文件&lt;7家时，取算术平均值；若7≤有效投标文件&lt;10家时，去掉其中一个最高报价和一个最低报价；若有效投标文件≥10家，去掉其中的二个最高报价和二个最低报价。）</w:t>
            </w:r>
          </w:p>
        </w:tc>
      </w:tr>
      <w:tr w14:paraId="66A48A68">
        <w:tblPrEx>
          <w:tblCellMar>
            <w:top w:w="11" w:type="dxa"/>
            <w:left w:w="108" w:type="dxa"/>
            <w:bottom w:w="11" w:type="dxa"/>
            <w:right w:w="108" w:type="dxa"/>
          </w:tblCellMar>
        </w:tblPrEx>
        <w:trPr>
          <w:trHeight w:val="689" w:hRule="atLeast"/>
        </w:trPr>
        <w:tc>
          <w:tcPr>
            <w:tcW w:w="1418" w:type="dxa"/>
            <w:vMerge w:val="continue"/>
            <w:tcBorders>
              <w:left w:val="single" w:color="auto" w:sz="4" w:space="0"/>
              <w:bottom w:val="single" w:color="auto" w:sz="4" w:space="0"/>
              <w:right w:val="single" w:color="auto" w:sz="4" w:space="0"/>
            </w:tcBorders>
            <w:noWrap w:val="0"/>
            <w:vAlign w:val="center"/>
          </w:tcPr>
          <w:p w14:paraId="5F2BEB5B">
            <w:pPr>
              <w:widowControl/>
              <w:spacing w:line="360" w:lineRule="exact"/>
              <w:jc w:val="left"/>
              <w:rPr>
                <w:rFonts w:hint="eastAsia" w:ascii="宋体" w:hAnsi="宋体" w:cs="宋体"/>
                <w:color w:val="auto"/>
                <w:kern w:val="0"/>
                <w:sz w:val="21"/>
                <w:szCs w:val="21"/>
                <w:highlight w:val="none"/>
              </w:rPr>
            </w:pPr>
          </w:p>
        </w:tc>
        <w:tc>
          <w:tcPr>
            <w:tcW w:w="2410" w:type="dxa"/>
            <w:vMerge w:val="continue"/>
            <w:tcBorders>
              <w:left w:val="single" w:color="auto" w:sz="4" w:space="0"/>
              <w:bottom w:val="single" w:color="auto" w:sz="4" w:space="0"/>
              <w:right w:val="single" w:color="auto" w:sz="4" w:space="0"/>
            </w:tcBorders>
            <w:noWrap w:val="0"/>
            <w:vAlign w:val="center"/>
          </w:tcPr>
          <w:p w14:paraId="38F46162">
            <w:pPr>
              <w:widowControl/>
              <w:spacing w:line="360" w:lineRule="exact"/>
              <w:jc w:val="left"/>
              <w:rPr>
                <w:rFonts w:hint="eastAsia" w:ascii="宋体" w:hAnsi="宋体" w:cs="宋体"/>
                <w:b/>
                <w:color w:val="auto"/>
                <w:kern w:val="0"/>
                <w:sz w:val="21"/>
                <w:szCs w:val="21"/>
                <w:highlight w:val="none"/>
              </w:rPr>
            </w:pPr>
          </w:p>
        </w:tc>
        <w:tc>
          <w:tcPr>
            <w:tcW w:w="5528" w:type="dxa"/>
            <w:tcBorders>
              <w:top w:val="single" w:color="auto" w:sz="4" w:space="0"/>
              <w:left w:val="nil"/>
              <w:bottom w:val="single" w:color="auto" w:sz="4" w:space="0"/>
              <w:right w:val="single" w:color="auto" w:sz="4" w:space="0"/>
            </w:tcBorders>
            <w:noWrap w:val="0"/>
            <w:vAlign w:val="center"/>
          </w:tcPr>
          <w:p w14:paraId="1D3CE7D5">
            <w:pPr>
              <w:widowControl/>
              <w:spacing w:line="360" w:lineRule="exact"/>
              <w:jc w:val="left"/>
              <w:rPr>
                <w:rFonts w:ascii="Times New Roman" w:hAnsi="Times New Roman" w:cs="宋体"/>
                <w:color w:val="auto"/>
                <w:kern w:val="0"/>
                <w:sz w:val="21"/>
                <w:szCs w:val="21"/>
                <w:highlight w:val="none"/>
              </w:rPr>
            </w:pPr>
            <w:r>
              <w:rPr>
                <w:rFonts w:hint="eastAsia" w:ascii="宋体" w:hAnsi="宋体" w:cs="宋体"/>
                <w:color w:val="auto"/>
                <w:kern w:val="0"/>
                <w:sz w:val="21"/>
                <w:szCs w:val="21"/>
                <w:highlight w:val="none"/>
              </w:rPr>
              <w:t>有效投标人报价不低于评标基准价。</w:t>
            </w:r>
          </w:p>
        </w:tc>
      </w:tr>
      <w:tr w14:paraId="7A033BD5">
        <w:tblPrEx>
          <w:tblCellMar>
            <w:top w:w="11" w:type="dxa"/>
            <w:left w:w="108" w:type="dxa"/>
            <w:bottom w:w="11" w:type="dxa"/>
            <w:right w:w="108" w:type="dxa"/>
          </w:tblCellMar>
        </w:tblPrEx>
        <w:trPr>
          <w:trHeight w:val="63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3E5C7C90">
            <w:pPr>
              <w:widowControl/>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不规范标书</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B03B510">
            <w:pPr>
              <w:widowControl/>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不规范标书</w:t>
            </w:r>
          </w:p>
        </w:tc>
        <w:tc>
          <w:tcPr>
            <w:tcW w:w="5528" w:type="dxa"/>
            <w:tcBorders>
              <w:top w:val="single" w:color="auto" w:sz="4" w:space="0"/>
              <w:left w:val="nil"/>
              <w:bottom w:val="single" w:color="auto" w:sz="4" w:space="0"/>
              <w:right w:val="single" w:color="auto" w:sz="4" w:space="0"/>
            </w:tcBorders>
            <w:noWrap w:val="0"/>
            <w:vAlign w:val="center"/>
          </w:tcPr>
          <w:p w14:paraId="5337B30A">
            <w:pPr>
              <w:widowControl/>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见“通用评标规则 4.2</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条</w:t>
            </w:r>
          </w:p>
        </w:tc>
      </w:tr>
    </w:tbl>
    <w:p w14:paraId="5C59D711">
      <w:pPr>
        <w:rPr>
          <w:rFonts w:hint="eastAsia" w:ascii="Times New Roman" w:hAnsi="Times New Roman"/>
          <w:color w:val="auto"/>
          <w:sz w:val="21"/>
          <w:szCs w:val="21"/>
          <w:highlight w:val="none"/>
        </w:rPr>
      </w:pPr>
    </w:p>
    <w:p w14:paraId="6F2D03D1">
      <w:pPr>
        <w:rPr>
          <w:rFonts w:ascii="Times New Roman" w:hAnsi="Times New Roman"/>
          <w:color w:val="auto"/>
          <w:sz w:val="21"/>
          <w:szCs w:val="21"/>
          <w:highlight w:val="none"/>
        </w:rPr>
      </w:pPr>
    </w:p>
    <w:p w14:paraId="16C2047D">
      <w:pPr>
        <w:keepNext/>
        <w:keepLines/>
        <w:spacing w:line="360" w:lineRule="auto"/>
        <w:outlineLvl w:val="1"/>
        <w:rPr>
          <w:rFonts w:hint="eastAsia" w:ascii="宋体" w:hAnsi="宋体" w:cs="宋体"/>
          <w:b/>
          <w:bCs/>
          <w:color w:val="auto"/>
          <w:sz w:val="21"/>
          <w:szCs w:val="21"/>
          <w:highlight w:val="none"/>
        </w:rPr>
      </w:pPr>
      <w:bookmarkStart w:id="116" w:name="_Toc146532019"/>
      <w:bookmarkStart w:id="117" w:name="_Toc160905735"/>
      <w:bookmarkStart w:id="118" w:name="_Toc11237"/>
      <w:bookmarkStart w:id="119" w:name="_Toc5865"/>
      <w:bookmarkStart w:id="120" w:name="_Hlk184153763"/>
      <w:r>
        <w:rPr>
          <w:rFonts w:hint="eastAsia" w:ascii="宋体" w:hAnsi="宋体" w:cs="宋体"/>
          <w:b/>
          <w:bCs/>
          <w:color w:val="auto"/>
          <w:sz w:val="21"/>
          <w:szCs w:val="21"/>
          <w:highlight w:val="none"/>
        </w:rPr>
        <w:t>1、评标方法</w:t>
      </w:r>
      <w:bookmarkEnd w:id="116"/>
      <w:bookmarkEnd w:id="117"/>
      <w:bookmarkEnd w:id="118"/>
      <w:bookmarkEnd w:id="119"/>
      <w:bookmarkStart w:id="121" w:name="_Hlk160654284"/>
    </w:p>
    <w:p w14:paraId="4DA07F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招标项目评标办法采用“合理低价法”，由评标委员会对通过资格审查、符合性评审、商务性评审的投标人的有效投标报价按照由低至高推荐有排序的1名中标候选人。招标人根据评标委员会提出的书面评标报告确定排名第1的中标候选人为中标人。</w:t>
      </w:r>
    </w:p>
    <w:p w14:paraId="5E388400">
      <w:pPr>
        <w:keepNext/>
        <w:keepLines/>
        <w:spacing w:line="360" w:lineRule="auto"/>
        <w:outlineLvl w:val="1"/>
        <w:rPr>
          <w:rFonts w:hint="eastAsia" w:ascii="宋体" w:hAnsi="宋体" w:cs="宋体"/>
          <w:b/>
          <w:bCs/>
          <w:color w:val="auto"/>
          <w:sz w:val="21"/>
          <w:szCs w:val="21"/>
          <w:highlight w:val="none"/>
        </w:rPr>
      </w:pPr>
      <w:bookmarkStart w:id="122" w:name="_Toc17136"/>
      <w:bookmarkStart w:id="123" w:name="_Toc7847"/>
      <w:bookmarkStart w:id="124" w:name="_Toc146532020"/>
      <w:bookmarkStart w:id="125" w:name="_Toc160905736"/>
      <w:r>
        <w:rPr>
          <w:rFonts w:hint="eastAsia" w:ascii="宋体" w:hAnsi="宋体" w:cs="宋体"/>
          <w:b/>
          <w:bCs/>
          <w:color w:val="auto"/>
          <w:sz w:val="21"/>
          <w:szCs w:val="21"/>
          <w:highlight w:val="none"/>
        </w:rPr>
        <w:t>2、评审标准</w:t>
      </w:r>
      <w:bookmarkEnd w:id="122"/>
      <w:bookmarkEnd w:id="123"/>
      <w:bookmarkEnd w:id="124"/>
      <w:bookmarkEnd w:id="125"/>
    </w:p>
    <w:p w14:paraId="1B5899D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本工程评标工作按以下2.1、2.2项顺序进行：</w:t>
      </w:r>
    </w:p>
    <w:p w14:paraId="7A18196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2.1初步评审标准</w:t>
      </w:r>
    </w:p>
    <w:p w14:paraId="0E8972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资格及符合性审查：（见评标办法前附表）</w:t>
      </w:r>
    </w:p>
    <w:p w14:paraId="181D8F5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2.2详细评审</w:t>
      </w:r>
    </w:p>
    <w:p w14:paraId="5B79E9F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特别说明：</w:t>
      </w:r>
    </w:p>
    <w:p w14:paraId="66AE3F4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1、K值的确定，投标文件</w:t>
      </w:r>
      <w:r>
        <w:rPr>
          <w:rFonts w:hint="eastAsia" w:ascii="宋体" w:hAnsi="宋体" w:cs="宋体"/>
          <w:color w:val="auto"/>
          <w:sz w:val="21"/>
          <w:szCs w:val="21"/>
          <w:highlight w:val="none"/>
        </w:rPr>
        <w:t>开启</w:t>
      </w:r>
      <w:r>
        <w:rPr>
          <w:rFonts w:hint="eastAsia" w:ascii="宋体" w:hAnsi="宋体" w:cs="宋体"/>
          <w:color w:val="auto"/>
          <w:sz w:val="21"/>
          <w:szCs w:val="21"/>
          <w:highlight w:val="none"/>
        </w:rPr>
        <w:t>前由招标人代表随机抽取，K值的取值范围为</w:t>
      </w:r>
      <w:r>
        <w:rPr>
          <w:rFonts w:hint="eastAsia" w:ascii="宋体" w:hAnsi="宋体" w:cs="宋体"/>
          <w:b/>
          <w:color w:val="auto"/>
          <w:sz w:val="21"/>
          <w:szCs w:val="21"/>
          <w:highlight w:val="none"/>
          <w:u w:val="single"/>
        </w:rPr>
        <w:t>93%、94%、95%、96%</w:t>
      </w:r>
      <w:r>
        <w:rPr>
          <w:rFonts w:hint="eastAsia" w:ascii="宋体" w:hAnsi="宋体" w:cs="宋体"/>
          <w:color w:val="auto"/>
          <w:sz w:val="21"/>
          <w:szCs w:val="21"/>
          <w:highlight w:val="none"/>
        </w:rPr>
        <w:t>。不论几个标段，K值在开标时只抽取一次。</w:t>
      </w:r>
    </w:p>
    <w:p w14:paraId="4C163B81">
      <w:pPr>
        <w:spacing w:line="360" w:lineRule="auto"/>
        <w:ind w:firstLine="420" w:firstLineChars="200"/>
        <w:rPr>
          <w:rFonts w:hint="eastAsia" w:ascii="宋体" w:hAnsi="宋体" w:cs="宋体"/>
          <w:b/>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、评标基准价不因评标后质疑、投诉、复议以及其他任何情形而改变，计算错误除外。</w:t>
      </w:r>
      <w:r>
        <w:rPr>
          <w:rFonts w:hint="eastAsia" w:ascii="宋体" w:hAnsi="宋体"/>
          <w:b/>
          <w:color w:val="auto"/>
          <w:sz w:val="21"/>
          <w:szCs w:val="21"/>
          <w:highlight w:val="none"/>
        </w:rPr>
        <w:t>评标基准价计算结果保留小数点后2位，第3位四舍五入。</w:t>
      </w:r>
    </w:p>
    <w:p w14:paraId="04F8555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商务性评审：（见评标办法前附表）</w:t>
      </w:r>
    </w:p>
    <w:p w14:paraId="2729CCFF">
      <w:pPr>
        <w:spacing w:line="360" w:lineRule="auto"/>
        <w:ind w:firstLine="420" w:firstLineChars="200"/>
        <w:rPr>
          <w:rFonts w:hint="eastAsia" w:ascii="宋体" w:hAnsi="宋体" w:cs="宋体"/>
          <w:color w:val="auto"/>
          <w:sz w:val="21"/>
          <w:szCs w:val="21"/>
          <w:highlight w:val="none"/>
        </w:rPr>
      </w:pPr>
      <w:r>
        <w:rPr>
          <w:rFonts w:hint="eastAsia" w:ascii="Times New Roman" w:hAnsi="Times New Roman"/>
          <w:color w:val="auto"/>
          <w:sz w:val="21"/>
          <w:szCs w:val="21"/>
          <w:highlight w:val="none"/>
        </w:rPr>
        <w:t>投标人的</w:t>
      </w:r>
      <w:r>
        <w:rPr>
          <w:rFonts w:hint="eastAsia" w:ascii="宋体" w:hAnsi="宋体" w:cs="宋体"/>
          <w:color w:val="auto"/>
          <w:sz w:val="21"/>
          <w:szCs w:val="21"/>
          <w:highlight w:val="none"/>
        </w:rPr>
        <w:t>报价不低于评标基准价：（见评标办法前附表）。</w:t>
      </w:r>
    </w:p>
    <w:p w14:paraId="37F093FA">
      <w:pPr>
        <w:keepNext/>
        <w:keepLines/>
        <w:spacing w:line="360" w:lineRule="auto"/>
        <w:outlineLvl w:val="1"/>
        <w:rPr>
          <w:rFonts w:hint="eastAsia" w:ascii="宋体" w:hAnsi="宋体" w:cs="宋体"/>
          <w:b/>
          <w:bCs/>
          <w:color w:val="auto"/>
          <w:sz w:val="21"/>
          <w:szCs w:val="21"/>
          <w:highlight w:val="none"/>
        </w:rPr>
      </w:pPr>
      <w:bookmarkStart w:id="126" w:name="_Toc160905737"/>
      <w:bookmarkStart w:id="127" w:name="_Toc146532021"/>
      <w:bookmarkStart w:id="128" w:name="_Toc32571"/>
      <w:bookmarkStart w:id="129" w:name="_Toc31755"/>
      <w:r>
        <w:rPr>
          <w:rFonts w:hint="eastAsia" w:ascii="宋体" w:hAnsi="宋体" w:cs="宋体"/>
          <w:b/>
          <w:bCs/>
          <w:color w:val="auto"/>
          <w:sz w:val="21"/>
          <w:szCs w:val="21"/>
          <w:highlight w:val="none"/>
        </w:rPr>
        <w:t>3、评标程序</w:t>
      </w:r>
      <w:bookmarkEnd w:id="126"/>
      <w:bookmarkEnd w:id="127"/>
      <w:bookmarkEnd w:id="128"/>
      <w:bookmarkEnd w:id="129"/>
    </w:p>
    <w:p w14:paraId="35FB87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 评标准备</w:t>
      </w:r>
    </w:p>
    <w:p w14:paraId="372E5A8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3.1.1 评标委员会成员到达评标现场时应在签到表上签到（或通过门禁系统签到）以证明其出席。</w:t>
      </w:r>
    </w:p>
    <w:p w14:paraId="5CD1329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3.1.2 评标委员会成员首先推选一名评标委员会负责人，负责评标活动的组织领导工作。</w:t>
      </w:r>
    </w:p>
    <w:p w14:paraId="09786F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3.1.3 招标人或招标代理机构应向评标委员会提供评标所需的信息和数据。评标委员会负责人应组织评标委员会成员认真研究招标文件，未在招标文件中规定的标准和方法不得作为评标的依据。</w:t>
      </w:r>
    </w:p>
    <w:p w14:paraId="1262123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 初步评审</w:t>
      </w:r>
    </w:p>
    <w:p w14:paraId="24E185D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3.2.1评标委员会依据本章规定的标准对投标文件进行初步评审，初步评审包含资格及符合性评审。</w:t>
      </w:r>
    </w:p>
    <w:p w14:paraId="4AF32B9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3.2.2投标文件不符合本章评审标准的，视为未能对招标文件作出实质性响应，应当作为无效投标予以否决。</w:t>
      </w:r>
    </w:p>
    <w:p w14:paraId="7059F07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3.2.3对照投标人须知6.</w:t>
      </w:r>
      <w:r>
        <w:rPr>
          <w:rFonts w:hint="eastAsia" w:ascii="宋体" w:hAnsi="宋体" w:cs="宋体"/>
          <w:color w:val="auto"/>
          <w:sz w:val="21"/>
          <w:szCs w:val="21"/>
          <w:highlight w:val="none"/>
        </w:rPr>
        <w:t>4</w:t>
      </w:r>
      <w:r>
        <w:rPr>
          <w:rFonts w:hint="eastAsia" w:ascii="宋体" w:hAnsi="宋体" w:cs="宋体"/>
          <w:color w:val="auto"/>
          <w:sz w:val="21"/>
          <w:szCs w:val="21"/>
          <w:highlight w:val="none"/>
        </w:rPr>
        <w:t>款，投标文件有上述情况之一，视为未能对招标文件作出实质性响应，凡招标文件未明确标明无效标条款的，评标委员会不得作为判定无效投标的依据。</w:t>
      </w:r>
    </w:p>
    <w:p w14:paraId="22CC47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3.2.4 投标报价有算术错误的，评标委员会按以下原则对投标报价进行修正，修正的价格经投标人书面确认后具有约束力。</w:t>
      </w:r>
    </w:p>
    <w:p w14:paraId="79DD96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(1）投标文件中的大写金额与小写金额不一致的，以大写金额为准；</w:t>
      </w:r>
    </w:p>
    <w:p w14:paraId="573AEC0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(2）总价金额与依据单价计算出的结果不一致的，以单价金额为准修正总价，但单价金额小数点有明显错误的除外。</w:t>
      </w:r>
    </w:p>
    <w:p w14:paraId="7E53BE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 详细评审</w:t>
      </w:r>
    </w:p>
    <w:p w14:paraId="119255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详细评审为商务性评审，经初步评审合格的投标文件，评标委员会按招标文件规定的量化因素和标准进行价格折算，计算出评标价，并按由低至高的次序向招标人推荐1名中标候选人，并标明排序。投标人报价相同，须明确中标候选人或需对中标候选人排序的，由招标人抽签确定排序。</w:t>
      </w:r>
    </w:p>
    <w:p w14:paraId="28649D5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 投标文件的澄清和补正</w:t>
      </w:r>
    </w:p>
    <w:p w14:paraId="261E064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3.4.1 在评标过程中，评标委员会可以书面形式要求投标人对所提交投标文件中不明确的内容进行书面澄清或说明，或者对细微偏差进行补正。评标委员会不接受投标人主动提出的澄清、说明或补正。</w:t>
      </w:r>
    </w:p>
    <w:p w14:paraId="481D46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3.4.2 澄清、说明和补正不得改变投标文件的实质性内容（算术性错误修正的除外）。投标人的书面澄清、说明和补正属于投标文件的组成部分。</w:t>
      </w:r>
    </w:p>
    <w:p w14:paraId="4F00950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3.4.3 评标委员会对投标人提交的澄清、说明或补正有疑问的，可以要求投标人进一步澄清、说明或补正。</w:t>
      </w:r>
    </w:p>
    <w:p w14:paraId="5C1927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 推荐中标候选人或直接确定中标人</w:t>
      </w:r>
    </w:p>
    <w:p w14:paraId="225066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3.5.1 除投标人须知前附表授权直接确定中标人外，评标委员会在推荐中标候选人时，应遵照以下原则:</w:t>
      </w:r>
    </w:p>
    <w:p w14:paraId="5B6CEB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按评标价格由低到高的排序，并根据投标人须知前附表规定的中标候选人数量，将排序在前的投标人推荐为中标候选人。投标人报价相同，须明确中标候选人或需对中标候选人排序的，由招标人抽签确定排序。</w:t>
      </w:r>
    </w:p>
    <w:p w14:paraId="6B67167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3.6 提交评标报告 </w:t>
      </w:r>
    </w:p>
    <w:p w14:paraId="3DD0B1A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评标委员会完成评标后，应当向招标人提交书面评标报告。评标报告应当由全体评标委员会成员签字。</w:t>
      </w:r>
    </w:p>
    <w:bookmarkEnd w:id="121"/>
    <w:p w14:paraId="14B608BF">
      <w:pPr>
        <w:keepNext/>
        <w:keepLines/>
        <w:spacing w:line="360" w:lineRule="auto"/>
        <w:outlineLvl w:val="1"/>
        <w:rPr>
          <w:rFonts w:hint="eastAsia" w:ascii="宋体" w:hAnsi="宋体" w:cs="宋体"/>
          <w:b/>
          <w:bCs/>
          <w:color w:val="auto"/>
          <w:sz w:val="21"/>
          <w:szCs w:val="21"/>
          <w:highlight w:val="none"/>
        </w:rPr>
      </w:pPr>
      <w:bookmarkStart w:id="130" w:name="_Toc146532022"/>
      <w:bookmarkStart w:id="131" w:name="_Toc160905738"/>
      <w:bookmarkStart w:id="132" w:name="_Toc15554"/>
      <w:bookmarkStart w:id="133" w:name="_Toc25532"/>
      <w:r>
        <w:rPr>
          <w:rFonts w:hint="eastAsia" w:ascii="宋体" w:hAnsi="宋体" w:cs="宋体"/>
          <w:b/>
          <w:bCs/>
          <w:color w:val="auto"/>
          <w:sz w:val="21"/>
          <w:szCs w:val="21"/>
          <w:highlight w:val="none"/>
        </w:rPr>
        <w:t>4、通用评标规则</w:t>
      </w:r>
      <w:bookmarkEnd w:id="130"/>
      <w:bookmarkEnd w:id="131"/>
      <w:bookmarkEnd w:id="132"/>
      <w:bookmarkEnd w:id="133"/>
    </w:p>
    <w:p w14:paraId="13CA64B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 评标程序</w:t>
      </w:r>
    </w:p>
    <w:p w14:paraId="0444691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资质标、技术标（如有）、商务标应分别评审，评审后不得更改。</w:t>
      </w:r>
    </w:p>
    <w:p w14:paraId="27546F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4.2不规范标书</w:t>
      </w:r>
    </w:p>
    <w:p w14:paraId="5501CD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审查中有发现投标文件或投标人行为存在不规范现象，且对照招标文件无法形成无效投标的，经评标委员会认定后对该投标人按其报价的0.3%-2%比例加价评审，该加价仅作评审方法使用，不影响投标人的实际报价和A值计算。</w:t>
      </w:r>
    </w:p>
    <w:p w14:paraId="26770B9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4.3计价文件评审规定</w:t>
      </w:r>
    </w:p>
    <w:p w14:paraId="621E4A4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评标委员会认为投标人的投标报价有可能低于其个别成本时，应当要求投标人以书面方式做出澄清，并提供相关证明材料后再进行认定。</w:t>
      </w:r>
    </w:p>
    <w:p w14:paraId="30BB50E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4.4争议处理</w:t>
      </w:r>
    </w:p>
    <w:p w14:paraId="1C0C36B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中发生重大情况或重大争议，需要进一步调查了解、协调处理的，现场监督人员报招标投标管理部门同意后可暂时休会，待有关问题得到澄清后再行复会。休会期间，所有招投标资料一律封存评标区，所有与会人员一律不得泄露评标情况。</w:t>
      </w:r>
    </w:p>
    <w:p w14:paraId="34A74E0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4.5违法违纪行为</w:t>
      </w:r>
    </w:p>
    <w:p w14:paraId="2AA0D4D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在招投标过程中发生行贿受贿、扰乱招投标活动秩序及其他严重违法违纪行为的，一律取消有关责任人参与招投标活动的资格；影响评审结果的，应宣布评审结果无效。</w:t>
      </w:r>
    </w:p>
    <w:p w14:paraId="4476AF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4.6其它</w:t>
      </w:r>
    </w:p>
    <w:p w14:paraId="2B77421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在评审过程中，一旦发现招标文件中发现以下现象的，经评标委员会认定，删除该项评审或记分。</w:t>
      </w:r>
    </w:p>
    <w:p w14:paraId="53AF3F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（1）招标文件内容中某项条款，有明显倾向或歧视的；</w:t>
      </w:r>
    </w:p>
    <w:p w14:paraId="753A46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（2）招标文件内容中某项条款有多种解释的。</w:t>
      </w:r>
    </w:p>
    <w:bookmarkEnd w:id="120"/>
    <w:p w14:paraId="44FAF659">
      <w:pPr>
        <w:snapToGrid w:val="0"/>
        <w:spacing w:line="360" w:lineRule="auto"/>
        <w:ind w:firstLine="440" w:firstLineChars="200"/>
        <w:rPr>
          <w:rFonts w:hint="eastAsia" w:ascii="宋体" w:hAnsi="宋体" w:cs="宋体"/>
          <w:color w:val="auto"/>
          <w:szCs w:val="21"/>
          <w:highlight w:val="none"/>
        </w:rPr>
      </w:pPr>
    </w:p>
    <w:bookmarkEnd w:id="113"/>
    <w:bookmarkEnd w:id="114"/>
    <w:bookmarkEnd w:id="115"/>
    <w:p w14:paraId="42EC3687">
      <w:pPr>
        <w:pStyle w:val="65"/>
        <w:keepNext w:val="0"/>
        <w:keepLines w:val="0"/>
        <w:pageBreakBefore/>
        <w:widowControl w:val="0"/>
        <w:kinsoku/>
        <w:wordWrap/>
        <w:overflowPunct/>
        <w:topLinePunct w:val="0"/>
        <w:autoSpaceDE/>
        <w:autoSpaceDN/>
        <w:bidi w:val="0"/>
        <w:adjustRightInd/>
        <w:snapToGrid/>
        <w:spacing w:before="240" w:after="240" w:line="360" w:lineRule="auto"/>
        <w:textAlignment w:val="auto"/>
        <w:rPr>
          <w:rFonts w:hint="eastAsia"/>
          <w:color w:val="auto"/>
          <w:sz w:val="36"/>
          <w:szCs w:val="36"/>
          <w:highlight w:val="none"/>
        </w:rPr>
      </w:pPr>
      <w:bookmarkStart w:id="134" w:name="_Toc65743943"/>
      <w:bookmarkStart w:id="135" w:name="_Toc96353836"/>
      <w:bookmarkStart w:id="136" w:name="_Toc65743841"/>
      <w:bookmarkStart w:id="137" w:name="_Toc65742942"/>
      <w:bookmarkStart w:id="138" w:name="_Toc21506"/>
      <w:bookmarkStart w:id="139" w:name="_Toc68685054"/>
      <w:bookmarkStart w:id="140" w:name="_Toc8031847"/>
      <w:r>
        <w:rPr>
          <w:rFonts w:hint="eastAsia"/>
          <w:color w:val="auto"/>
          <w:sz w:val="36"/>
          <w:szCs w:val="36"/>
          <w:highlight w:val="none"/>
        </w:rPr>
        <w:t>第四章 合同条款及格式</w:t>
      </w:r>
      <w:bookmarkEnd w:id="134"/>
      <w:bookmarkEnd w:id="135"/>
      <w:bookmarkEnd w:id="136"/>
      <w:bookmarkEnd w:id="137"/>
      <w:bookmarkEnd w:id="138"/>
      <w:bookmarkEnd w:id="139"/>
      <w:bookmarkEnd w:id="140"/>
    </w:p>
    <w:p w14:paraId="260A15F0">
      <w:pPr>
        <w:spacing w:after="120" w:afterLines="50"/>
        <w:jc w:val="center"/>
        <w:rPr>
          <w:rFonts w:ascii="仿宋_GB2312" w:eastAsia="仿宋_GB2312"/>
          <w:b/>
          <w:color w:val="auto"/>
          <w:sz w:val="48"/>
          <w:highlight w:val="none"/>
          <w:lang w:eastAsia="zh-CN"/>
        </w:rPr>
      </w:pPr>
      <w:bookmarkStart w:id="141" w:name="_Toc530471248"/>
      <w:bookmarkStart w:id="142" w:name="EB27b25370ddd3401db052806d1de9fd0a"/>
      <w:r>
        <w:rPr>
          <w:rFonts w:hint="eastAsia" w:ascii="仿宋_GB2312" w:eastAsia="仿宋_GB2312"/>
          <w:b/>
          <w:color w:val="auto"/>
          <w:sz w:val="48"/>
          <w:highlight w:val="none"/>
          <w:lang w:eastAsia="zh-CN"/>
        </w:rPr>
        <w:t>资产评估委托合同</w:t>
      </w:r>
    </w:p>
    <w:p w14:paraId="6BF85C38">
      <w:pPr>
        <w:keepNext w:val="0"/>
        <w:keepLines w:val="0"/>
        <w:pageBreakBefore w:val="0"/>
        <w:widowControl w:val="0"/>
        <w:kinsoku/>
        <w:wordWrap/>
        <w:overflowPunct/>
        <w:topLinePunct w:val="0"/>
        <w:autoSpaceDE/>
        <w:autoSpaceDN/>
        <w:bidi w:val="0"/>
        <w:snapToGrid/>
        <w:spacing w:line="440" w:lineRule="exact"/>
        <w:textAlignment w:val="auto"/>
        <w:rPr>
          <w:rFonts w:ascii="Arial" w:hAnsi="Arial" w:cs="Arial" w:eastAsiaTheme="minorEastAsia"/>
          <w:bCs/>
          <w:color w:val="auto"/>
          <w:kern w:val="2"/>
          <w:sz w:val="21"/>
          <w:szCs w:val="21"/>
          <w:highlight w:val="none"/>
          <w:lang w:eastAsia="zh-CN"/>
        </w:rPr>
      </w:pPr>
      <w:r>
        <w:rPr>
          <w:rFonts w:ascii="Arial" w:hAnsi="Arial" w:cs="Arial" w:eastAsiaTheme="minorEastAsia"/>
          <w:b/>
          <w:color w:val="auto"/>
          <w:kern w:val="2"/>
          <w:sz w:val="21"/>
          <w:szCs w:val="21"/>
          <w:highlight w:val="none"/>
          <w:lang w:eastAsia="zh-CN"/>
        </w:rPr>
        <w:t>委托人名称：</w:t>
      </w:r>
      <w:r>
        <w:rPr>
          <w:rFonts w:hint="eastAsia" w:ascii="Arial" w:hAnsi="Arial" w:cs="Arial" w:eastAsiaTheme="minorEastAsia"/>
          <w:bCs/>
          <w:color w:val="auto"/>
          <w:kern w:val="2"/>
          <w:sz w:val="21"/>
          <w:szCs w:val="21"/>
          <w:highlight w:val="none"/>
          <w:u w:val="single"/>
          <w:lang w:eastAsia="zh-CN"/>
        </w:rPr>
        <w:t>盐城东方投资开发集团有限公司</w:t>
      </w:r>
    </w:p>
    <w:p w14:paraId="31F6CDDA">
      <w:pPr>
        <w:keepNext w:val="0"/>
        <w:keepLines w:val="0"/>
        <w:pageBreakBefore w:val="0"/>
        <w:widowControl w:val="0"/>
        <w:kinsoku/>
        <w:wordWrap/>
        <w:overflowPunct/>
        <w:topLinePunct w:val="0"/>
        <w:autoSpaceDE/>
        <w:autoSpaceDN/>
        <w:bidi w:val="0"/>
        <w:snapToGrid/>
        <w:spacing w:line="440" w:lineRule="exact"/>
        <w:textAlignment w:val="auto"/>
        <w:rPr>
          <w:rFonts w:hint="default" w:ascii="Arial" w:hAnsi="Arial" w:cs="Arial" w:eastAsiaTheme="minorEastAsia"/>
          <w:b w:val="0"/>
          <w:bCs/>
          <w:color w:val="auto"/>
          <w:kern w:val="2"/>
          <w:sz w:val="21"/>
          <w:szCs w:val="21"/>
          <w:highlight w:val="none"/>
          <w:u w:val="single"/>
          <w:lang w:val="en-US" w:eastAsia="zh-CN"/>
        </w:rPr>
      </w:pPr>
      <w:r>
        <w:rPr>
          <w:rFonts w:ascii="Arial" w:hAnsi="Arial" w:cs="Arial" w:eastAsiaTheme="minorEastAsia"/>
          <w:b/>
          <w:color w:val="auto"/>
          <w:kern w:val="2"/>
          <w:sz w:val="21"/>
          <w:szCs w:val="21"/>
          <w:highlight w:val="none"/>
          <w:lang w:eastAsia="zh-CN"/>
        </w:rPr>
        <w:t>受托人名称：</w:t>
      </w:r>
      <w:r>
        <w:rPr>
          <w:rFonts w:hint="eastAsia" w:ascii="Arial" w:hAnsi="Arial" w:cs="Arial" w:eastAsiaTheme="minorEastAsia"/>
          <w:b w:val="0"/>
          <w:bCs/>
          <w:color w:val="auto"/>
          <w:kern w:val="2"/>
          <w:sz w:val="21"/>
          <w:szCs w:val="21"/>
          <w:highlight w:val="none"/>
          <w:u w:val="single"/>
          <w:lang w:val="en-US" w:eastAsia="zh-CN"/>
        </w:rPr>
        <w:t xml:space="preserve">                                                </w:t>
      </w:r>
    </w:p>
    <w:p w14:paraId="6443E143">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根据</w:t>
      </w:r>
      <w:r>
        <w:rPr>
          <w:rFonts w:hint="eastAsia" w:ascii="Arial" w:hAnsi="Arial" w:cs="Arial" w:eastAsiaTheme="minorEastAsia"/>
          <w:color w:val="auto"/>
          <w:szCs w:val="21"/>
          <w:highlight w:val="none"/>
        </w:rPr>
        <w:t>《中华人民共和国民法典—第三编 合同》</w:t>
      </w:r>
      <w:r>
        <w:rPr>
          <w:rFonts w:ascii="Arial" w:hAnsi="Arial" w:cs="Arial" w:eastAsiaTheme="minorEastAsia"/>
          <w:color w:val="auto"/>
          <w:szCs w:val="21"/>
          <w:highlight w:val="none"/>
        </w:rPr>
        <w:t>、《中华人民共和国资产评估法》、《资产评估基本准则》和《资产评估执业准则——资产评估委托合同》，本着平等、自愿、公平、诚实信用的原则，委托人委托受托人</w:t>
      </w:r>
      <w:r>
        <w:rPr>
          <w:rFonts w:hint="eastAsia" w:ascii="Arial" w:hAnsi="Arial" w:cs="Arial" w:eastAsiaTheme="minorEastAsia"/>
          <w:color w:val="auto"/>
          <w:szCs w:val="21"/>
          <w:highlight w:val="none"/>
          <w:lang w:val="en-US" w:eastAsia="zh-CN"/>
        </w:rPr>
        <w:t>对</w:t>
      </w:r>
      <w:r>
        <w:rPr>
          <w:rFonts w:ascii="Arial" w:hAnsi="Arial" w:cs="Arial" w:eastAsiaTheme="minorEastAsia"/>
          <w:color w:val="auto"/>
          <w:szCs w:val="21"/>
          <w:highlight w:val="none"/>
        </w:rPr>
        <w:t>进行资产评估服务，经双方协商一致，达成以下约定：</w:t>
      </w:r>
      <w:r>
        <w:rPr>
          <w:rFonts w:ascii="Arial" w:hAnsi="Arial" w:cs="Arial" w:eastAsiaTheme="minorEastAsia"/>
          <w:color w:val="auto"/>
          <w:szCs w:val="21"/>
          <w:highlight w:val="none"/>
        </w:rPr>
        <w:cr/>
      </w:r>
      <w:r>
        <w:rPr>
          <w:rFonts w:hint="eastAsia" w:ascii="Arial" w:hAnsi="Arial" w:cs="Arial" w:eastAsiaTheme="minorEastAsia"/>
          <w:b/>
          <w:bCs/>
          <w:color w:val="auto"/>
          <w:szCs w:val="21"/>
          <w:highlight w:val="none"/>
        </w:rPr>
        <w:t xml:space="preserve">        </w:t>
      </w:r>
      <w:r>
        <w:rPr>
          <w:rFonts w:ascii="Arial" w:hAnsi="Arial" w:cs="Arial" w:eastAsiaTheme="minorEastAsia"/>
          <w:b/>
          <w:bCs/>
          <w:color w:val="auto"/>
          <w:szCs w:val="21"/>
          <w:highlight w:val="none"/>
        </w:rPr>
        <w:t>一、评估目的</w:t>
      </w:r>
    </w:p>
    <w:p w14:paraId="0626579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color w:val="auto"/>
          <w:szCs w:val="21"/>
          <w:highlight w:val="none"/>
          <w:lang w:eastAsia="zh-CN"/>
        </w:rPr>
      </w:pPr>
      <w:r>
        <w:rPr>
          <w:rFonts w:hint="eastAsia" w:ascii="Arial" w:hAnsi="Arial" w:cs="Arial" w:eastAsiaTheme="minorEastAsia"/>
          <w:color w:val="auto"/>
          <w:szCs w:val="21"/>
          <w:highlight w:val="none"/>
        </w:rPr>
        <w:t>盐城东方投资开发集团有限公司拟将持有的江苏星月测绘科技股份有限公司股权进行转让，</w:t>
      </w:r>
      <w:r>
        <w:rPr>
          <w:rFonts w:hint="eastAsia" w:ascii="Arial" w:hAnsi="Arial" w:cs="Arial" w:eastAsiaTheme="minorEastAsia"/>
          <w:color w:val="auto"/>
          <w:szCs w:val="21"/>
          <w:highlight w:val="none"/>
          <w:lang w:val="en-US" w:eastAsia="zh-CN"/>
        </w:rPr>
        <w:t>委托受托人</w:t>
      </w:r>
      <w:r>
        <w:rPr>
          <w:rFonts w:hint="eastAsia" w:ascii="Arial" w:hAnsi="Arial" w:cs="Arial" w:eastAsiaTheme="minorEastAsia"/>
          <w:color w:val="auto"/>
          <w:szCs w:val="21"/>
          <w:highlight w:val="none"/>
        </w:rPr>
        <w:t>对持有股权价值截至2024年12月31日进行评估</w:t>
      </w:r>
      <w:r>
        <w:rPr>
          <w:rFonts w:hint="eastAsia" w:ascii="Arial" w:hAnsi="Arial" w:cs="Arial" w:eastAsiaTheme="minorEastAsia"/>
          <w:color w:val="auto"/>
          <w:szCs w:val="21"/>
          <w:highlight w:val="none"/>
          <w:lang w:eastAsia="zh-CN"/>
        </w:rPr>
        <w:t>。</w:t>
      </w:r>
    </w:p>
    <w:p w14:paraId="0DDBD0EE">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ascii="Arial" w:hAnsi="Arial" w:cs="Arial" w:eastAsiaTheme="minorEastAsia"/>
          <w:b/>
          <w:bCs/>
          <w:color w:val="auto"/>
          <w:szCs w:val="21"/>
          <w:highlight w:val="none"/>
        </w:rPr>
        <w:t>二、评估对象与评估范围</w:t>
      </w:r>
    </w:p>
    <w:p w14:paraId="44EAEBE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1、评估对象</w:t>
      </w:r>
      <w:r>
        <w:rPr>
          <w:rFonts w:hint="eastAsia" w:ascii="Arial" w:hAnsi="Arial" w:cs="Arial" w:eastAsiaTheme="minorEastAsia"/>
          <w:color w:val="auto"/>
          <w:szCs w:val="21"/>
          <w:highlight w:val="none"/>
        </w:rPr>
        <w:t>：</w:t>
      </w:r>
      <w:r>
        <w:rPr>
          <w:rFonts w:hint="eastAsia" w:ascii="宋体" w:hAnsi="宋体" w:eastAsia="宋体" w:cs="宋体"/>
          <w:b w:val="0"/>
          <w:bCs w:val="0"/>
          <w:color w:val="auto"/>
          <w:sz w:val="21"/>
          <w:szCs w:val="21"/>
          <w:highlight w:val="none"/>
          <w:shd w:val="clear" w:color="auto" w:fill="FFFFFF"/>
          <w:lang w:eastAsia="zh-CN"/>
        </w:rPr>
        <w:t>盐城东方投资开发集团有限公司持有的江苏星月测绘科技股份有限公司股权</w:t>
      </w:r>
      <w:r>
        <w:rPr>
          <w:rFonts w:hint="eastAsia" w:ascii="Arial" w:hAnsi="Arial" w:cs="Arial" w:eastAsiaTheme="minorEastAsia"/>
          <w:color w:val="auto"/>
          <w:szCs w:val="21"/>
          <w:highlight w:val="none"/>
        </w:rPr>
        <w:t>。</w:t>
      </w:r>
      <w:r>
        <w:rPr>
          <w:rFonts w:ascii="Arial" w:hAnsi="Arial" w:cs="Arial" w:eastAsiaTheme="minorEastAsia"/>
          <w:color w:val="auto"/>
          <w:szCs w:val="21"/>
          <w:highlight w:val="none"/>
        </w:rPr>
        <w:t xml:space="preserve"> </w:t>
      </w:r>
    </w:p>
    <w:p w14:paraId="0369455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2、评估范围：</w:t>
      </w:r>
      <w:r>
        <w:rPr>
          <w:rFonts w:hint="eastAsia" w:ascii="宋体" w:hAnsi="宋体" w:eastAsia="宋体" w:cs="宋体"/>
          <w:b w:val="0"/>
          <w:bCs w:val="0"/>
          <w:color w:val="auto"/>
          <w:sz w:val="21"/>
          <w:szCs w:val="21"/>
          <w:highlight w:val="none"/>
          <w:shd w:val="clear" w:color="auto" w:fill="FFFFFF"/>
          <w:lang w:eastAsia="zh-CN"/>
        </w:rPr>
        <w:t>盐城东方投资开发集团有限公司持有</w:t>
      </w:r>
      <w:r>
        <w:rPr>
          <w:rFonts w:hint="eastAsia" w:cs="宋体"/>
          <w:b w:val="0"/>
          <w:bCs w:val="0"/>
          <w:color w:val="auto"/>
          <w:sz w:val="21"/>
          <w:szCs w:val="21"/>
          <w:highlight w:val="none"/>
          <w:shd w:val="clear" w:color="auto" w:fill="FFFFFF"/>
          <w:lang w:val="en-US" w:eastAsia="zh-CN"/>
        </w:rPr>
        <w:t>的</w:t>
      </w:r>
      <w:r>
        <w:rPr>
          <w:rFonts w:hint="eastAsia" w:ascii="宋体" w:hAnsi="宋体" w:eastAsia="宋体" w:cs="宋体"/>
          <w:b w:val="0"/>
          <w:bCs w:val="0"/>
          <w:color w:val="auto"/>
          <w:sz w:val="21"/>
          <w:szCs w:val="21"/>
          <w:highlight w:val="none"/>
          <w:shd w:val="clear" w:color="auto" w:fill="FFFFFF"/>
          <w:lang w:eastAsia="zh-CN"/>
        </w:rPr>
        <w:t>江苏星月测绘科技股份有限公司股权价值评估</w:t>
      </w:r>
      <w:r>
        <w:rPr>
          <w:rFonts w:hint="eastAsia" w:cs="宋体"/>
          <w:b w:val="0"/>
          <w:bCs w:val="0"/>
          <w:color w:val="auto"/>
          <w:sz w:val="21"/>
          <w:szCs w:val="21"/>
          <w:highlight w:val="none"/>
          <w:shd w:val="clear" w:color="auto" w:fill="FFFFFF"/>
          <w:lang w:val="en-US" w:eastAsia="zh-CN"/>
        </w:rPr>
        <w:t>服务</w:t>
      </w:r>
      <w:r>
        <w:rPr>
          <w:rFonts w:hint="eastAsia"/>
          <w:color w:val="auto"/>
          <w:sz w:val="21"/>
          <w:szCs w:val="21"/>
          <w:highlight w:val="none"/>
          <w:shd w:val="clear" w:color="auto" w:fill="FFFFFF"/>
          <w:lang w:eastAsia="zh-CN"/>
        </w:rPr>
        <w:t>，评估报告须通过上级国资部门审核</w:t>
      </w:r>
      <w:r>
        <w:rPr>
          <w:rFonts w:hint="eastAsia"/>
          <w:color w:val="auto"/>
          <w:sz w:val="21"/>
          <w:szCs w:val="21"/>
          <w:highlight w:val="none"/>
          <w:shd w:val="clear" w:color="auto" w:fill="FFFFFF"/>
          <w:lang w:eastAsia="zh-CN"/>
        </w:rPr>
        <w:t>。</w:t>
      </w:r>
      <w:r>
        <w:rPr>
          <w:rFonts w:hint="eastAsia"/>
          <w:color w:val="auto"/>
          <w:sz w:val="21"/>
          <w:szCs w:val="21"/>
          <w:highlight w:val="none"/>
          <w:shd w:val="clear" w:color="auto" w:fill="FFFFFF"/>
          <w:lang w:val="en-US" w:eastAsia="zh-CN"/>
        </w:rPr>
        <w:t>委托</w:t>
      </w:r>
      <w:r>
        <w:rPr>
          <w:rFonts w:hint="eastAsia"/>
          <w:color w:val="auto"/>
          <w:sz w:val="21"/>
          <w:szCs w:val="21"/>
          <w:highlight w:val="none"/>
          <w:shd w:val="clear" w:color="auto" w:fill="FFFFFF"/>
          <w:lang w:eastAsia="zh-CN"/>
        </w:rPr>
        <w:t>人保留对</w:t>
      </w:r>
      <w:r>
        <w:rPr>
          <w:rFonts w:hint="eastAsia"/>
          <w:color w:val="auto"/>
          <w:sz w:val="21"/>
          <w:szCs w:val="21"/>
          <w:highlight w:val="none"/>
          <w:shd w:val="clear" w:color="auto" w:fill="FFFFFF"/>
          <w:lang w:val="en-US" w:eastAsia="zh-CN"/>
        </w:rPr>
        <w:t>上述评估</w:t>
      </w:r>
      <w:r>
        <w:rPr>
          <w:rFonts w:hint="eastAsia"/>
          <w:color w:val="auto"/>
          <w:sz w:val="21"/>
          <w:szCs w:val="21"/>
          <w:highlight w:val="none"/>
          <w:shd w:val="clear" w:color="auto" w:fill="FFFFFF"/>
          <w:lang w:eastAsia="zh-CN"/>
        </w:rPr>
        <w:t>范围及内容调整的权利</w:t>
      </w:r>
      <w:r>
        <w:rPr>
          <w:rFonts w:ascii="Arial" w:hAnsi="Arial" w:cs="Arial" w:eastAsiaTheme="minorEastAsia"/>
          <w:color w:val="auto"/>
          <w:szCs w:val="21"/>
          <w:highlight w:val="none"/>
        </w:rPr>
        <w:t>。</w:t>
      </w:r>
    </w:p>
    <w:p w14:paraId="78966343">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ascii="Arial" w:hAnsi="Arial" w:cs="Arial" w:eastAsiaTheme="minorEastAsia"/>
          <w:b/>
          <w:bCs/>
          <w:color w:val="auto"/>
          <w:szCs w:val="21"/>
          <w:highlight w:val="none"/>
        </w:rPr>
        <w:t>三、评估基准日</w:t>
      </w:r>
    </w:p>
    <w:p w14:paraId="3C6AEBD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202</w:t>
      </w:r>
      <w:r>
        <w:rPr>
          <w:rFonts w:hint="eastAsia" w:ascii="Arial" w:hAnsi="Arial" w:cs="Arial" w:eastAsiaTheme="minorEastAsia"/>
          <w:color w:val="auto"/>
          <w:szCs w:val="21"/>
          <w:highlight w:val="none"/>
        </w:rPr>
        <w:t>4</w:t>
      </w:r>
      <w:r>
        <w:rPr>
          <w:rFonts w:ascii="Arial" w:hAnsi="Arial" w:cs="Arial" w:eastAsiaTheme="minorEastAsia"/>
          <w:color w:val="auto"/>
          <w:szCs w:val="21"/>
          <w:highlight w:val="none"/>
        </w:rPr>
        <w:t>年12月31日</w:t>
      </w:r>
    </w:p>
    <w:p w14:paraId="6CE568BF">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ascii="Arial" w:hAnsi="Arial" w:cs="Arial" w:eastAsiaTheme="minorEastAsia"/>
          <w:b/>
          <w:bCs/>
          <w:color w:val="auto"/>
          <w:szCs w:val="21"/>
          <w:highlight w:val="none"/>
        </w:rPr>
        <w:t>四、评估报告使用者和使用方式</w:t>
      </w:r>
    </w:p>
    <w:p w14:paraId="37F04D9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1、本项目资产评估报告的使用者包括：委托人及委托人许可使用的第三方。资产评估报告仅供本合同约定的和法律、行政法规规定的使用人使用，其他任何机构和个人不能成为本项目资产评估报告的使用人。</w:t>
      </w:r>
    </w:p>
    <w:p w14:paraId="18DD6A6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委托人或者其他资产评估报告使用人应当按照法律、行政法规规定和资产评估报告载明的使用目的及用途使用资产评估报告。委托人或者其他资产评估报告使用人违反前述约定使用资产评估报告的，资产评估机构及其资产评估专业人员不承担责任。</w:t>
      </w:r>
    </w:p>
    <w:p w14:paraId="0147D56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3、未经委托人书面许可，</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及其资产评估专业人员不得将资产评估报告的内容向第三方提供或者公开，法律、行政法规另有规定的除外。</w:t>
      </w:r>
    </w:p>
    <w:p w14:paraId="3BD18331">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4、未征得</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同意，资产评估报告的内容不得被摘抄、引用或者披露于公开媒体，法律、行政法规规定以及相关当事人另有约定的除外。</w:t>
      </w:r>
    </w:p>
    <w:p w14:paraId="6FA2B4EF">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5、委托人应当在评估报告载明的评估结论使用有效期内使用本资产评估报告的结论。</w:t>
      </w:r>
      <w:r>
        <w:rPr>
          <w:rFonts w:ascii="Arial" w:hAnsi="Arial" w:cs="Arial" w:eastAsiaTheme="minorEastAsia"/>
          <w:color w:val="auto"/>
          <w:szCs w:val="21"/>
          <w:highlight w:val="none"/>
        </w:rPr>
        <w:t xml:space="preserve">本资产评估报告评估结论的使用有效期为：自评估基准日起1年。  </w:t>
      </w:r>
    </w:p>
    <w:p w14:paraId="50041ABA">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ascii="Arial" w:hAnsi="Arial" w:cs="Arial" w:eastAsiaTheme="minorEastAsia"/>
          <w:b/>
          <w:bCs/>
          <w:color w:val="auto"/>
          <w:szCs w:val="21"/>
          <w:highlight w:val="none"/>
        </w:rPr>
        <w:t>五、评估报告提交时间、地点及方式</w:t>
      </w:r>
    </w:p>
    <w:p w14:paraId="181231CD">
      <w:pPr>
        <w:adjustRightInd w:val="0"/>
        <w:snapToGrid w:val="0"/>
        <w:spacing w:line="460" w:lineRule="exact"/>
        <w:ind w:firstLine="440" w:firstLineChars="200"/>
        <w:rPr>
          <w:rFonts w:hint="eastAsia"/>
          <w:snapToGrid w:val="0"/>
          <w:color w:val="auto"/>
          <w:sz w:val="21"/>
          <w:szCs w:val="21"/>
          <w:highlight w:val="none"/>
          <w:lang w:eastAsia="zh-CN"/>
        </w:rPr>
      </w:pPr>
      <w:r>
        <w:rPr>
          <w:rFonts w:ascii="Arial" w:hAnsi="Arial" w:cs="Arial" w:eastAsiaTheme="minorEastAsia"/>
          <w:color w:val="auto"/>
          <w:szCs w:val="21"/>
          <w:highlight w:val="none"/>
        </w:rPr>
        <w:t>1、</w:t>
      </w:r>
      <w:r>
        <w:rPr>
          <w:rFonts w:hint="eastAsia" w:ascii="Arial" w:hAnsi="Arial" w:cs="Arial" w:eastAsiaTheme="minorEastAsia"/>
          <w:color w:val="auto"/>
          <w:szCs w:val="21"/>
          <w:highlight w:val="none"/>
          <w:lang w:val="en-US" w:eastAsia="zh-CN"/>
        </w:rPr>
        <w:t>提交时间：</w:t>
      </w:r>
      <w:r>
        <w:rPr>
          <w:rFonts w:hint="eastAsia"/>
          <w:color w:val="auto"/>
          <w:sz w:val="21"/>
          <w:szCs w:val="21"/>
          <w:highlight w:val="none"/>
          <w:lang w:val="en-US" w:eastAsia="zh-CN"/>
        </w:rPr>
        <w:t>合同签订后15日内完成全部服务工作并提供合格的成果报告，评估报告最终须通过</w:t>
      </w:r>
      <w:r>
        <w:rPr>
          <w:rFonts w:hint="eastAsia"/>
          <w:color w:val="auto"/>
          <w:sz w:val="21"/>
          <w:szCs w:val="21"/>
          <w:highlight w:val="none"/>
          <w:shd w:val="clear" w:color="auto" w:fill="FFFFFF"/>
          <w:lang w:eastAsia="zh-CN"/>
        </w:rPr>
        <w:t>上级国资部门审核</w:t>
      </w:r>
      <w:r>
        <w:rPr>
          <w:rFonts w:hint="eastAsia"/>
          <w:snapToGrid w:val="0"/>
          <w:color w:val="auto"/>
          <w:sz w:val="21"/>
          <w:szCs w:val="21"/>
          <w:highlight w:val="none"/>
          <w:lang w:eastAsia="zh-CN"/>
        </w:rPr>
        <w:t>。</w:t>
      </w:r>
    </w:p>
    <w:p w14:paraId="5081B17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default" w:ascii="Arial" w:hAnsi="Arial" w:cs="Arial" w:eastAsiaTheme="minorEastAsia"/>
          <w:color w:val="auto"/>
          <w:szCs w:val="21"/>
          <w:highlight w:val="none"/>
          <w:lang w:val="en-US" w:eastAsia="zh-CN"/>
        </w:rPr>
      </w:pPr>
      <w:r>
        <w:rPr>
          <w:rFonts w:hint="eastAsia" w:ascii="Arial" w:hAnsi="Arial" w:cs="Arial" w:eastAsiaTheme="minorEastAsia"/>
          <w:color w:val="auto"/>
          <w:szCs w:val="21"/>
          <w:highlight w:val="none"/>
          <w:lang w:val="en-US" w:eastAsia="zh-CN"/>
        </w:rPr>
        <w:t>如因受托人原因未在规定时间内提交成果文件的，每延期一天处违约金500元。延期超过10天的，委托人可单方面解除合同，并没收履约保证金。</w:t>
      </w:r>
    </w:p>
    <w:p w14:paraId="44F62ABF">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2、资产评估报告提交方式为：</w:t>
      </w:r>
    </w:p>
    <w:p w14:paraId="32D2C591">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纸质版资产评估报告，以受托人的联系人当面提交或邮寄到本合同约定的委托人住所地为准。纸质版资产评估报告提交份数为</w:t>
      </w:r>
      <w:r>
        <w:rPr>
          <w:rFonts w:hint="eastAsia" w:ascii="Arial" w:hAnsi="Arial" w:cs="Arial" w:eastAsiaTheme="minorEastAsia"/>
          <w:color w:val="auto"/>
          <w:szCs w:val="21"/>
          <w:highlight w:val="none"/>
        </w:rPr>
        <w:t>拾</w:t>
      </w:r>
      <w:r>
        <w:rPr>
          <w:rFonts w:ascii="Arial" w:hAnsi="Arial" w:cs="Arial" w:eastAsiaTheme="minorEastAsia"/>
          <w:color w:val="auto"/>
          <w:szCs w:val="21"/>
          <w:highlight w:val="none"/>
        </w:rPr>
        <w:t>份</w:t>
      </w:r>
      <w:r>
        <w:rPr>
          <w:rFonts w:ascii="Arial" w:hAnsi="Arial" w:cs="Arial" w:eastAsiaTheme="minorEastAsia"/>
          <w:color w:val="auto"/>
          <w:szCs w:val="21"/>
          <w:highlight w:val="none"/>
        </w:rPr>
        <w:t>。</w:t>
      </w:r>
    </w:p>
    <w:p w14:paraId="5AF21FE5">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ascii="Arial" w:hAnsi="Arial" w:cs="Arial" w:eastAsiaTheme="minorEastAsia"/>
          <w:b/>
          <w:bCs/>
          <w:color w:val="auto"/>
          <w:szCs w:val="21"/>
          <w:highlight w:val="none"/>
        </w:rPr>
        <w:t>六、资产评估服务费、支付时间及方式</w:t>
      </w:r>
    </w:p>
    <w:p w14:paraId="799E1A26">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color w:val="auto"/>
          <w:szCs w:val="21"/>
          <w:highlight w:val="none"/>
          <w:lang w:val="en-US" w:eastAsia="zh-CN"/>
        </w:rPr>
      </w:pPr>
      <w:r>
        <w:rPr>
          <w:rFonts w:ascii="Arial" w:hAnsi="Arial" w:cs="Arial" w:eastAsiaTheme="minorEastAsia"/>
          <w:color w:val="auto"/>
          <w:szCs w:val="21"/>
          <w:highlight w:val="none"/>
        </w:rPr>
        <w:t>1、</w:t>
      </w:r>
      <w:r>
        <w:rPr>
          <w:rFonts w:hint="eastAsia" w:ascii="Arial" w:hAnsi="Arial" w:cs="Arial" w:eastAsiaTheme="minorEastAsia"/>
          <w:color w:val="auto"/>
          <w:szCs w:val="21"/>
          <w:highlight w:val="none"/>
          <w:lang w:val="en-US" w:eastAsia="zh-CN"/>
        </w:rPr>
        <w:t>合同价</w:t>
      </w:r>
    </w:p>
    <w:p w14:paraId="6ADCFC1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本项目的资产评估服务费</w:t>
      </w:r>
      <w:r>
        <w:rPr>
          <w:rFonts w:hint="eastAsia" w:ascii="Arial" w:hAnsi="Arial" w:cs="Arial" w:eastAsiaTheme="minorEastAsia"/>
          <w:color w:val="auto"/>
          <w:szCs w:val="21"/>
          <w:highlight w:val="none"/>
          <w:lang w:val="en-US" w:eastAsia="zh-CN"/>
        </w:rPr>
        <w:t>总</w:t>
      </w:r>
      <w:r>
        <w:rPr>
          <w:rFonts w:ascii="Arial" w:hAnsi="Arial" w:cs="Arial" w:eastAsiaTheme="minorEastAsia"/>
          <w:color w:val="auto"/>
          <w:szCs w:val="21"/>
          <w:highlight w:val="none"/>
        </w:rPr>
        <w:t>金额为人民币</w:t>
      </w:r>
      <w:r>
        <w:rPr>
          <w:rFonts w:hint="eastAsia" w:ascii="Arial" w:hAnsi="Arial" w:cs="Arial" w:eastAsiaTheme="minorEastAsia"/>
          <w:color w:val="auto"/>
          <w:szCs w:val="21"/>
          <w:highlight w:val="none"/>
          <w:u w:val="single"/>
        </w:rPr>
        <w:t xml:space="preserve">     </w:t>
      </w:r>
      <w:r>
        <w:rPr>
          <w:rFonts w:hint="eastAsia" w:ascii="Arial" w:hAnsi="Arial" w:cs="Arial" w:eastAsiaTheme="minorEastAsia"/>
          <w:color w:val="auto"/>
          <w:szCs w:val="21"/>
          <w:highlight w:val="none"/>
          <w:u w:val="single"/>
          <w:lang w:val="en-US" w:eastAsia="zh-CN"/>
        </w:rPr>
        <w:t xml:space="preserve">                         </w:t>
      </w:r>
      <w:r>
        <w:rPr>
          <w:rFonts w:hint="eastAsia" w:ascii="Arial" w:hAnsi="Arial" w:cs="Arial" w:eastAsiaTheme="minorEastAsia"/>
          <w:color w:val="auto"/>
          <w:szCs w:val="21"/>
          <w:highlight w:val="none"/>
          <w:u w:val="single"/>
        </w:rPr>
        <w:t xml:space="preserve">    </w:t>
      </w:r>
      <w:r>
        <w:rPr>
          <w:rFonts w:hint="eastAsia" w:ascii="Arial" w:hAnsi="Arial" w:cs="Arial" w:eastAsiaTheme="minorEastAsia"/>
          <w:color w:val="auto"/>
          <w:szCs w:val="21"/>
          <w:highlight w:val="none"/>
          <w:u w:val="single"/>
          <w:lang w:val="en-US" w:eastAsia="zh-CN"/>
        </w:rPr>
        <w:t xml:space="preserve"> </w:t>
      </w:r>
      <w:r>
        <w:rPr>
          <w:rFonts w:ascii="Arial" w:hAnsi="Arial" w:cs="Arial" w:eastAsiaTheme="minorEastAsia"/>
          <w:color w:val="auto"/>
          <w:szCs w:val="21"/>
          <w:highlight w:val="none"/>
        </w:rPr>
        <w:t>（</w:t>
      </w:r>
      <w:r>
        <w:rPr>
          <w:rFonts w:hint="eastAsia" w:ascii="Arial" w:hAnsi="Arial" w:cs="Arial" w:eastAsiaTheme="minorEastAsia"/>
          <w:color w:val="auto"/>
          <w:szCs w:val="21"/>
          <w:highlight w:val="none"/>
        </w:rPr>
        <w:t>￥</w:t>
      </w:r>
      <w:r>
        <w:rPr>
          <w:rFonts w:hint="eastAsia" w:ascii="Arial" w:hAnsi="Arial" w:cs="Arial" w:eastAsiaTheme="minorEastAsia"/>
          <w:color w:val="auto"/>
          <w:szCs w:val="21"/>
          <w:highlight w:val="none"/>
          <w:u w:val="single"/>
        </w:rPr>
        <w:t xml:space="preserve">       </w:t>
      </w:r>
      <w:r>
        <w:rPr>
          <w:rFonts w:hint="eastAsia" w:ascii="Arial" w:hAnsi="Arial" w:cs="Arial" w:eastAsiaTheme="minorEastAsia"/>
          <w:color w:val="auto"/>
          <w:szCs w:val="21"/>
          <w:highlight w:val="none"/>
          <w:u w:val="single"/>
          <w:lang w:val="en-US" w:eastAsia="zh-CN"/>
        </w:rPr>
        <w:t xml:space="preserve">          </w:t>
      </w:r>
      <w:r>
        <w:rPr>
          <w:rFonts w:hint="eastAsia" w:ascii="Arial" w:hAnsi="Arial" w:cs="Arial" w:eastAsiaTheme="minorEastAsia"/>
          <w:color w:val="auto"/>
          <w:szCs w:val="21"/>
          <w:highlight w:val="none"/>
          <w:u w:val="single"/>
        </w:rPr>
        <w:t xml:space="preserve">   </w:t>
      </w:r>
      <w:r>
        <w:rPr>
          <w:rFonts w:ascii="Arial" w:hAnsi="Arial" w:cs="Arial" w:eastAsiaTheme="minorEastAsia"/>
          <w:color w:val="auto"/>
          <w:szCs w:val="21"/>
          <w:highlight w:val="none"/>
        </w:rPr>
        <w:t>元）。</w:t>
      </w:r>
    </w:p>
    <w:p w14:paraId="1E16CC11">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color w:val="auto"/>
          <w:szCs w:val="21"/>
          <w:highlight w:val="none"/>
        </w:rPr>
      </w:pPr>
      <w:r>
        <w:rPr>
          <w:rFonts w:hint="eastAsia" w:ascii="Arial" w:hAnsi="Arial" w:cs="Arial" w:eastAsiaTheme="minorEastAsia"/>
          <w:color w:val="auto"/>
          <w:szCs w:val="21"/>
          <w:highlight w:val="none"/>
          <w:lang w:val="en-US" w:eastAsia="zh-CN"/>
        </w:rPr>
        <w:t>2、</w:t>
      </w:r>
      <w:r>
        <w:rPr>
          <w:rFonts w:hint="eastAsia"/>
          <w:color w:val="auto"/>
          <w:sz w:val="21"/>
          <w:szCs w:val="21"/>
          <w:highlight w:val="none"/>
          <w:lang w:eastAsia="zh-CN"/>
        </w:rPr>
        <w:t>结算方式：本项目采用</w:t>
      </w:r>
      <w:r>
        <w:rPr>
          <w:rFonts w:hint="eastAsia"/>
          <w:color w:val="auto"/>
          <w:sz w:val="21"/>
          <w:szCs w:val="21"/>
          <w:highlight w:val="none"/>
          <w:lang w:val="en-US" w:eastAsia="zh-CN"/>
        </w:rPr>
        <w:t>固定</w:t>
      </w:r>
      <w:r>
        <w:rPr>
          <w:rFonts w:hint="eastAsia"/>
          <w:color w:val="auto"/>
          <w:sz w:val="21"/>
          <w:szCs w:val="21"/>
          <w:highlight w:val="none"/>
          <w:lang w:eastAsia="zh-CN"/>
        </w:rPr>
        <w:t>总价合同，项目结算时，除</w:t>
      </w:r>
      <w:r>
        <w:rPr>
          <w:rFonts w:hint="eastAsia"/>
          <w:color w:val="auto"/>
          <w:sz w:val="21"/>
          <w:szCs w:val="21"/>
          <w:highlight w:val="none"/>
          <w:lang w:val="en-US" w:eastAsia="zh-CN"/>
        </w:rPr>
        <w:t>招标文件和合同</w:t>
      </w:r>
      <w:r>
        <w:rPr>
          <w:rFonts w:hint="eastAsia"/>
          <w:color w:val="auto"/>
          <w:sz w:val="21"/>
          <w:szCs w:val="21"/>
          <w:highlight w:val="none"/>
          <w:lang w:eastAsia="zh-CN"/>
        </w:rPr>
        <w:t>另有约定外，</w:t>
      </w:r>
      <w:r>
        <w:rPr>
          <w:rFonts w:hint="eastAsia"/>
          <w:color w:val="auto"/>
          <w:sz w:val="21"/>
          <w:szCs w:val="21"/>
          <w:highlight w:val="none"/>
          <w:lang w:val="en-US" w:eastAsia="zh-CN"/>
        </w:rPr>
        <w:t>合同总价固定不变</w:t>
      </w:r>
      <w:r>
        <w:rPr>
          <w:rFonts w:hint="eastAsia"/>
          <w:color w:val="auto"/>
          <w:sz w:val="21"/>
          <w:szCs w:val="21"/>
          <w:highlight w:val="none"/>
          <w:lang w:eastAsia="zh-CN"/>
        </w:rPr>
        <w:t>。</w:t>
      </w:r>
      <w:r>
        <w:rPr>
          <w:rFonts w:hint="eastAsia" w:ascii="Arial" w:hAnsi="Arial" w:cs="Arial" w:eastAsiaTheme="minorEastAsia"/>
          <w:color w:val="auto"/>
          <w:szCs w:val="21"/>
          <w:highlight w:val="none"/>
        </w:rPr>
        <w:t xml:space="preserve"> </w:t>
      </w:r>
    </w:p>
    <w:p w14:paraId="46816FB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hint="eastAsia" w:ascii="Arial" w:hAnsi="Arial" w:cs="Arial" w:eastAsiaTheme="minorEastAsia"/>
          <w:color w:val="auto"/>
          <w:szCs w:val="21"/>
          <w:highlight w:val="none"/>
          <w:lang w:val="en-US" w:eastAsia="zh-CN"/>
        </w:rPr>
        <w:t>3</w:t>
      </w:r>
      <w:r>
        <w:rPr>
          <w:rFonts w:ascii="Arial" w:hAnsi="Arial" w:cs="Arial" w:eastAsiaTheme="minorEastAsia"/>
          <w:color w:val="auto"/>
          <w:szCs w:val="21"/>
          <w:highlight w:val="none"/>
        </w:rPr>
        <w:t>、资产评估服务费的支付方式为：</w:t>
      </w:r>
    </w:p>
    <w:p w14:paraId="6EA797F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w:t>
      </w:r>
      <w:r>
        <w:rPr>
          <w:rFonts w:hint="eastAsia" w:ascii="Arial" w:hAnsi="Arial" w:cs="Arial" w:eastAsiaTheme="minorEastAsia"/>
          <w:color w:val="auto"/>
          <w:szCs w:val="21"/>
          <w:highlight w:val="none"/>
        </w:rPr>
        <w:t>服务完成</w:t>
      </w:r>
      <w:r>
        <w:rPr>
          <w:rFonts w:hint="eastAsia" w:ascii="Arial" w:hAnsi="Arial" w:cs="Arial" w:eastAsiaTheme="minorEastAsia"/>
          <w:color w:val="auto"/>
          <w:szCs w:val="21"/>
          <w:highlight w:val="none"/>
          <w:lang w:val="en-US" w:eastAsia="zh-CN"/>
        </w:rPr>
        <w:t>提交合格的评估报告且报告通过</w:t>
      </w:r>
      <w:r>
        <w:rPr>
          <w:rFonts w:hint="eastAsia" w:ascii="Arial" w:hAnsi="Arial" w:cs="Arial" w:eastAsiaTheme="minorEastAsia"/>
          <w:color w:val="auto"/>
          <w:szCs w:val="21"/>
          <w:highlight w:val="none"/>
        </w:rPr>
        <w:t>上级国资认可审核，</w:t>
      </w:r>
      <w:r>
        <w:rPr>
          <w:rFonts w:hint="default" w:ascii="Arial" w:hAnsi="Arial" w:cs="Arial" w:eastAsiaTheme="minorEastAsia"/>
          <w:color w:val="auto"/>
          <w:szCs w:val="21"/>
          <w:highlight w:val="none"/>
          <w:lang w:val="en-US"/>
        </w:rPr>
        <w:t>乙方</w:t>
      </w:r>
      <w:r>
        <w:rPr>
          <w:rFonts w:hint="eastAsia" w:ascii="Arial" w:hAnsi="Arial" w:cs="Arial" w:eastAsiaTheme="minorEastAsia"/>
          <w:color w:val="auto"/>
          <w:szCs w:val="21"/>
          <w:highlight w:val="none"/>
          <w:lang w:val="en-US" w:eastAsia="zh-CN"/>
        </w:rPr>
        <w:t>受托人</w:t>
      </w:r>
      <w:r>
        <w:rPr>
          <w:rFonts w:hint="eastAsia" w:ascii="Arial" w:hAnsi="Arial" w:cs="Arial" w:eastAsiaTheme="minorEastAsia"/>
          <w:color w:val="auto"/>
          <w:szCs w:val="21"/>
          <w:highlight w:val="none"/>
        </w:rPr>
        <w:t>报送完整的资料后，一次性付清服务价款。</w:t>
      </w:r>
    </w:p>
    <w:p w14:paraId="2E7DF2C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color w:val="auto"/>
          <w:szCs w:val="21"/>
          <w:highlight w:val="none"/>
        </w:rPr>
      </w:pPr>
      <w:r>
        <w:rPr>
          <w:rFonts w:hint="eastAsia" w:ascii="Arial" w:hAnsi="Arial" w:cs="Arial" w:eastAsiaTheme="minorEastAsia"/>
          <w:color w:val="auto"/>
          <w:szCs w:val="21"/>
          <w:highlight w:val="none"/>
        </w:rPr>
        <w:t>（2）</w:t>
      </w:r>
      <w:r>
        <w:rPr>
          <w:rFonts w:hint="eastAsia" w:ascii="Arial" w:hAnsi="Arial" w:cs="Arial" w:eastAsiaTheme="minorEastAsia"/>
          <w:color w:val="auto"/>
          <w:szCs w:val="21"/>
          <w:highlight w:val="none"/>
          <w:lang w:val="en-US" w:eastAsia="zh-CN"/>
        </w:rPr>
        <w:t>委托人在付款前，</w:t>
      </w:r>
      <w:r>
        <w:rPr>
          <w:rFonts w:hint="eastAsia" w:ascii="Arial" w:hAnsi="Arial" w:cs="Arial" w:eastAsiaTheme="minorEastAsia"/>
          <w:color w:val="auto"/>
          <w:szCs w:val="21"/>
          <w:highlight w:val="none"/>
        </w:rPr>
        <w:t>受托人需</w:t>
      </w:r>
      <w:r>
        <w:rPr>
          <w:rFonts w:hint="eastAsia" w:ascii="Arial" w:hAnsi="Arial" w:cs="Arial" w:eastAsiaTheme="minorEastAsia"/>
          <w:color w:val="auto"/>
          <w:szCs w:val="21"/>
          <w:highlight w:val="none"/>
          <w:lang w:val="en-US" w:eastAsia="zh-CN"/>
        </w:rPr>
        <w:t>先</w:t>
      </w:r>
      <w:r>
        <w:rPr>
          <w:rFonts w:hint="eastAsia" w:ascii="Arial" w:hAnsi="Arial" w:cs="Arial" w:eastAsiaTheme="minorEastAsia"/>
          <w:color w:val="auto"/>
          <w:szCs w:val="21"/>
          <w:highlight w:val="none"/>
        </w:rPr>
        <w:t>向委托人开具合法、合规的增值税发票。</w:t>
      </w:r>
    </w:p>
    <w:p w14:paraId="0140A8EB">
      <w:pPr>
        <w:keepNext w:val="0"/>
        <w:keepLines w:val="0"/>
        <w:pageBreakBefore w:val="0"/>
        <w:widowControl w:val="0"/>
        <w:numPr>
          <w:ilvl w:val="0"/>
          <w:numId w:val="0"/>
        </w:numPr>
        <w:kinsoku/>
        <w:wordWrap/>
        <w:overflowPunct/>
        <w:topLinePunct w:val="0"/>
        <w:autoSpaceDE/>
        <w:autoSpaceDN/>
        <w:bidi w:val="0"/>
        <w:snapToGrid/>
        <w:spacing w:line="440" w:lineRule="exact"/>
        <w:ind w:left="220" w:leftChars="0"/>
        <w:textAlignment w:val="auto"/>
        <w:rPr>
          <w:rFonts w:hint="eastAsia"/>
          <w:b/>
          <w:bCs/>
          <w:color w:val="auto"/>
          <w:sz w:val="21"/>
          <w:szCs w:val="21"/>
          <w:highlight w:val="none"/>
          <w:lang w:eastAsia="zh-CN"/>
        </w:rPr>
      </w:pPr>
      <w:r>
        <w:rPr>
          <w:rFonts w:hint="eastAsia"/>
          <w:b/>
          <w:bCs/>
          <w:color w:val="auto"/>
          <w:sz w:val="21"/>
          <w:szCs w:val="21"/>
          <w:highlight w:val="none"/>
          <w:lang w:eastAsia="zh-CN"/>
        </w:rPr>
        <w:t>七、履约保证金</w:t>
      </w:r>
    </w:p>
    <w:p w14:paraId="089E30E0">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both"/>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本项目履约保证金的金额为</w:t>
      </w:r>
      <w:r>
        <w:rPr>
          <w:rFonts w:hint="eastAsia"/>
          <w:b/>
          <w:bCs/>
          <w:color w:val="auto"/>
          <w:kern w:val="2"/>
          <w:sz w:val="21"/>
          <w:szCs w:val="21"/>
          <w:highlight w:val="none"/>
          <w:u w:val="single"/>
          <w:lang w:eastAsia="zh-CN"/>
        </w:rPr>
        <w:t>中标价的10%</w:t>
      </w:r>
      <w:r>
        <w:rPr>
          <w:rFonts w:hint="eastAsia"/>
          <w:color w:val="auto"/>
          <w:kern w:val="2"/>
          <w:sz w:val="21"/>
          <w:szCs w:val="21"/>
          <w:highlight w:val="none"/>
          <w:lang w:eastAsia="zh-CN"/>
        </w:rPr>
        <w:t>，</w:t>
      </w:r>
      <w:r>
        <w:rPr>
          <w:rFonts w:hint="eastAsia"/>
          <w:bCs/>
          <w:color w:val="auto"/>
          <w:kern w:val="2"/>
          <w:sz w:val="21"/>
          <w:szCs w:val="21"/>
          <w:highlight w:val="none"/>
          <w:lang w:val="en-US" w:eastAsia="zh-CN"/>
        </w:rPr>
        <w:t>受托</w:t>
      </w:r>
      <w:r>
        <w:rPr>
          <w:rFonts w:hint="eastAsia"/>
          <w:bCs/>
          <w:color w:val="auto"/>
          <w:kern w:val="2"/>
          <w:sz w:val="21"/>
          <w:szCs w:val="21"/>
          <w:highlight w:val="none"/>
          <w:lang w:eastAsia="zh-CN"/>
        </w:rPr>
        <w:t>人</w:t>
      </w:r>
      <w:r>
        <w:rPr>
          <w:rFonts w:hint="eastAsia"/>
          <w:color w:val="auto"/>
          <w:kern w:val="2"/>
          <w:sz w:val="21"/>
          <w:szCs w:val="21"/>
          <w:highlight w:val="none"/>
          <w:lang w:eastAsia="zh-CN"/>
        </w:rPr>
        <w:t>在收到中标通知书后，须在</w:t>
      </w:r>
      <w:r>
        <w:rPr>
          <w:rFonts w:hint="eastAsia"/>
          <w:color w:val="auto"/>
          <w:kern w:val="2"/>
          <w:sz w:val="21"/>
          <w:szCs w:val="21"/>
          <w:highlight w:val="none"/>
          <w:u w:val="single"/>
          <w:lang w:eastAsia="zh-CN"/>
        </w:rPr>
        <w:t xml:space="preserve"> 20日</w:t>
      </w:r>
      <w:r>
        <w:rPr>
          <w:rFonts w:hint="eastAsia"/>
          <w:color w:val="auto"/>
          <w:kern w:val="2"/>
          <w:sz w:val="21"/>
          <w:szCs w:val="21"/>
          <w:highlight w:val="none"/>
          <w:lang w:eastAsia="zh-CN"/>
        </w:rPr>
        <w:t>内向</w:t>
      </w:r>
      <w:r>
        <w:rPr>
          <w:rFonts w:hint="eastAsia"/>
          <w:color w:val="auto"/>
          <w:kern w:val="2"/>
          <w:sz w:val="21"/>
          <w:szCs w:val="21"/>
          <w:highlight w:val="none"/>
          <w:lang w:val="en-US" w:eastAsia="zh-CN"/>
        </w:rPr>
        <w:t>委托</w:t>
      </w:r>
      <w:r>
        <w:rPr>
          <w:rFonts w:hint="eastAsia"/>
          <w:color w:val="auto"/>
          <w:kern w:val="2"/>
          <w:sz w:val="21"/>
          <w:szCs w:val="21"/>
          <w:highlight w:val="none"/>
          <w:lang w:eastAsia="zh-CN"/>
        </w:rPr>
        <w:t>人按招标文件约定方式足额提交履约保证金，否则</w:t>
      </w:r>
      <w:r>
        <w:rPr>
          <w:rFonts w:hint="eastAsia"/>
          <w:color w:val="auto"/>
          <w:kern w:val="2"/>
          <w:sz w:val="21"/>
          <w:szCs w:val="21"/>
          <w:highlight w:val="none"/>
          <w:lang w:val="en-US" w:eastAsia="zh-CN"/>
        </w:rPr>
        <w:t>委托</w:t>
      </w:r>
      <w:r>
        <w:rPr>
          <w:rFonts w:hint="eastAsia"/>
          <w:color w:val="auto"/>
          <w:kern w:val="2"/>
          <w:sz w:val="21"/>
          <w:szCs w:val="21"/>
          <w:highlight w:val="none"/>
          <w:lang w:eastAsia="zh-CN"/>
        </w:rPr>
        <w:t>人可以取消其中标资格。</w:t>
      </w:r>
    </w:p>
    <w:p w14:paraId="78E267FD">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both"/>
        <w:textAlignment w:val="auto"/>
        <w:rPr>
          <w:rFonts w:hint="eastAsia"/>
          <w:color w:val="auto"/>
          <w:kern w:val="2"/>
          <w:sz w:val="21"/>
          <w:szCs w:val="21"/>
          <w:highlight w:val="none"/>
          <w:lang w:eastAsia="zh-CN"/>
        </w:rPr>
      </w:pPr>
      <w:r>
        <w:rPr>
          <w:rFonts w:hint="eastAsia"/>
          <w:color w:val="auto"/>
          <w:kern w:val="2"/>
          <w:sz w:val="21"/>
          <w:szCs w:val="21"/>
          <w:highlight w:val="none"/>
          <w:lang w:eastAsia="zh-CN"/>
        </w:rPr>
        <w:t>履约保证金的形式：</w:t>
      </w:r>
    </w:p>
    <w:p w14:paraId="1CB50996">
      <w:pPr>
        <w:keepNext w:val="0"/>
        <w:keepLines w:val="0"/>
        <w:pageBreakBefore w:val="0"/>
        <w:widowControl w:val="0"/>
        <w:kinsoku/>
        <w:wordWrap/>
        <w:overflowPunct/>
        <w:topLinePunct w:val="0"/>
        <w:autoSpaceDE/>
        <w:autoSpaceDN/>
        <w:bidi w:val="0"/>
        <w:snapToGrid/>
        <w:spacing w:line="440" w:lineRule="exact"/>
        <w:ind w:firstLine="422" w:firstLineChars="200"/>
        <w:jc w:val="both"/>
        <w:textAlignment w:val="auto"/>
        <w:rPr>
          <w:rFonts w:hint="eastAsia"/>
          <w:b/>
          <w:bCs/>
          <w:color w:val="auto"/>
          <w:kern w:val="2"/>
          <w:sz w:val="21"/>
          <w:szCs w:val="21"/>
          <w:highlight w:val="none"/>
          <w:u w:val="single"/>
          <w:lang w:eastAsia="zh-CN"/>
        </w:rPr>
      </w:pPr>
      <w:r>
        <w:rPr>
          <w:rFonts w:hint="eastAsia" w:ascii="宋体" w:hAnsi="宋体" w:eastAsia="宋体" w:cs="宋体"/>
          <w:b/>
          <w:bCs/>
          <w:color w:val="auto"/>
          <w:kern w:val="2"/>
          <w:sz w:val="21"/>
          <w:szCs w:val="21"/>
          <w:highlight w:val="none"/>
          <w:u w:val="single"/>
          <w:lang w:eastAsia="zh-CN"/>
        </w:rPr>
        <w:t>（1） 委托人接受受托人从基本账户缴纳的现金、数字人民币或银行保函中任何一种形式</w:t>
      </w:r>
      <w:r>
        <w:rPr>
          <w:rFonts w:hint="eastAsia"/>
          <w:b/>
          <w:bCs/>
          <w:color w:val="auto"/>
          <w:kern w:val="2"/>
          <w:sz w:val="21"/>
          <w:szCs w:val="21"/>
          <w:highlight w:val="none"/>
          <w:u w:val="single"/>
          <w:lang w:eastAsia="zh-CN"/>
        </w:rPr>
        <w:t>的履约保证金。具体形式由受托人自主选择。</w:t>
      </w:r>
    </w:p>
    <w:p w14:paraId="67066F0B">
      <w:pPr>
        <w:keepNext w:val="0"/>
        <w:keepLines w:val="0"/>
        <w:pageBreakBefore w:val="0"/>
        <w:widowControl w:val="0"/>
        <w:kinsoku/>
        <w:wordWrap/>
        <w:overflowPunct/>
        <w:topLinePunct w:val="0"/>
        <w:autoSpaceDE/>
        <w:autoSpaceDN/>
        <w:bidi w:val="0"/>
        <w:snapToGrid/>
        <w:spacing w:line="440" w:lineRule="exact"/>
        <w:ind w:firstLine="422" w:firstLineChars="200"/>
        <w:jc w:val="both"/>
        <w:textAlignment w:val="auto"/>
        <w:rPr>
          <w:rFonts w:hint="eastAsia"/>
          <w:b/>
          <w:bCs/>
          <w:color w:val="auto"/>
          <w:kern w:val="2"/>
          <w:sz w:val="21"/>
          <w:szCs w:val="21"/>
          <w:highlight w:val="none"/>
          <w:u w:val="single"/>
          <w:lang w:eastAsia="zh-CN"/>
        </w:rPr>
      </w:pPr>
      <w:r>
        <w:rPr>
          <w:rFonts w:hint="eastAsia" w:ascii="宋体" w:hAnsi="宋体" w:eastAsia="宋体" w:cs="宋体"/>
          <w:b/>
          <w:bCs/>
          <w:color w:val="auto"/>
          <w:kern w:val="2"/>
          <w:sz w:val="21"/>
          <w:szCs w:val="21"/>
          <w:highlight w:val="none"/>
          <w:u w:val="single"/>
          <w:lang w:eastAsia="zh-CN"/>
        </w:rPr>
        <w:t>（2）本项目接受</w:t>
      </w:r>
      <w:r>
        <w:rPr>
          <w:rFonts w:hint="eastAsia" w:ascii="宋体" w:hAnsi="宋体" w:eastAsia="宋体" w:cs="宋体"/>
          <w:b/>
          <w:bCs/>
          <w:color w:val="auto"/>
          <w:kern w:val="2"/>
          <w:sz w:val="21"/>
          <w:szCs w:val="21"/>
          <w:highlight w:val="none"/>
          <w:u w:val="single"/>
          <w:lang w:val="en-US" w:eastAsia="zh-CN"/>
        </w:rPr>
        <w:t>受托</w:t>
      </w:r>
      <w:r>
        <w:rPr>
          <w:rFonts w:hint="eastAsia" w:ascii="宋体" w:hAnsi="宋体" w:eastAsia="宋体" w:cs="宋体"/>
          <w:b/>
          <w:bCs/>
          <w:color w:val="auto"/>
          <w:kern w:val="2"/>
          <w:sz w:val="21"/>
          <w:szCs w:val="21"/>
          <w:highlight w:val="none"/>
          <w:u w:val="single"/>
          <w:lang w:eastAsia="zh-CN"/>
        </w:rPr>
        <w:t>人提供的从基本账户缴纳的担保机构保函、保险机构保单等非现金交</w:t>
      </w:r>
      <w:r>
        <w:rPr>
          <w:rFonts w:hint="eastAsia"/>
          <w:b/>
          <w:bCs/>
          <w:color w:val="auto"/>
          <w:kern w:val="2"/>
          <w:sz w:val="21"/>
          <w:szCs w:val="21"/>
          <w:highlight w:val="none"/>
          <w:u w:val="single"/>
          <w:lang w:eastAsia="zh-CN"/>
        </w:rPr>
        <w:t>易担保方式。</w:t>
      </w:r>
    </w:p>
    <w:p w14:paraId="0F51F73C">
      <w:pPr>
        <w:keepNext w:val="0"/>
        <w:keepLines w:val="0"/>
        <w:pageBreakBefore w:val="0"/>
        <w:widowControl w:val="0"/>
        <w:kinsoku/>
        <w:wordWrap/>
        <w:overflowPunct/>
        <w:topLinePunct w:val="0"/>
        <w:autoSpaceDE/>
        <w:autoSpaceDN/>
        <w:bidi w:val="0"/>
        <w:snapToGrid/>
        <w:spacing w:line="440" w:lineRule="exact"/>
        <w:ind w:firstLine="408" w:firstLineChars="200"/>
        <w:jc w:val="both"/>
        <w:textAlignment w:val="auto"/>
        <w:rPr>
          <w:rFonts w:hint="eastAsia"/>
          <w:color w:val="auto"/>
          <w:spacing w:val="-3"/>
          <w:kern w:val="2"/>
          <w:sz w:val="21"/>
          <w:szCs w:val="21"/>
          <w:highlight w:val="none"/>
          <w:lang w:eastAsia="zh-CN"/>
        </w:rPr>
      </w:pPr>
      <w:r>
        <w:rPr>
          <w:rFonts w:hint="eastAsia"/>
          <w:color w:val="auto"/>
          <w:spacing w:val="-3"/>
          <w:kern w:val="2"/>
          <w:sz w:val="21"/>
          <w:szCs w:val="21"/>
          <w:highlight w:val="none"/>
          <w:lang w:eastAsia="zh-CN"/>
        </w:rPr>
        <w:t>注：</w:t>
      </w:r>
      <w:r>
        <w:rPr>
          <w:rFonts w:hint="eastAsia"/>
          <w:color w:val="auto"/>
          <w:kern w:val="2"/>
          <w:sz w:val="21"/>
          <w:szCs w:val="21"/>
          <w:highlight w:val="none"/>
          <w:lang w:val="en-US" w:eastAsia="zh-CN"/>
        </w:rPr>
        <w:t>委托</w:t>
      </w:r>
      <w:r>
        <w:rPr>
          <w:rFonts w:hint="eastAsia"/>
          <w:color w:val="auto"/>
          <w:kern w:val="2"/>
          <w:sz w:val="21"/>
          <w:szCs w:val="21"/>
          <w:highlight w:val="none"/>
          <w:lang w:eastAsia="zh-CN"/>
        </w:rPr>
        <w:t>人</w:t>
      </w:r>
      <w:r>
        <w:rPr>
          <w:rFonts w:hint="eastAsia"/>
          <w:color w:val="auto"/>
          <w:spacing w:val="-3"/>
          <w:kern w:val="2"/>
          <w:sz w:val="21"/>
          <w:szCs w:val="21"/>
          <w:highlight w:val="none"/>
          <w:lang w:eastAsia="zh-CN"/>
        </w:rPr>
        <w:t>对受托人不能遵守招标文件约定，不能按时办理中标手续和缴纳履约保证金等费用，影响或者推迟签订合同的，</w:t>
      </w:r>
      <w:r>
        <w:rPr>
          <w:rFonts w:hint="eastAsia"/>
          <w:color w:val="auto"/>
          <w:kern w:val="2"/>
          <w:sz w:val="21"/>
          <w:szCs w:val="21"/>
          <w:highlight w:val="none"/>
          <w:lang w:val="en-US" w:eastAsia="zh-CN"/>
        </w:rPr>
        <w:t>委托</w:t>
      </w:r>
      <w:r>
        <w:rPr>
          <w:rFonts w:hint="eastAsia"/>
          <w:color w:val="auto"/>
          <w:kern w:val="2"/>
          <w:sz w:val="21"/>
          <w:szCs w:val="21"/>
          <w:highlight w:val="none"/>
          <w:lang w:eastAsia="zh-CN"/>
        </w:rPr>
        <w:t>人</w:t>
      </w:r>
      <w:r>
        <w:rPr>
          <w:rFonts w:hint="eastAsia"/>
          <w:color w:val="auto"/>
          <w:spacing w:val="-3"/>
          <w:kern w:val="2"/>
          <w:sz w:val="21"/>
          <w:szCs w:val="21"/>
          <w:highlight w:val="none"/>
          <w:lang w:eastAsia="zh-CN"/>
        </w:rPr>
        <w:t>有权在中标通知书发出后第21日起宣布该</w:t>
      </w:r>
      <w:r>
        <w:rPr>
          <w:rFonts w:hint="eastAsia"/>
          <w:bCs/>
          <w:color w:val="auto"/>
          <w:kern w:val="2"/>
          <w:sz w:val="21"/>
          <w:szCs w:val="21"/>
          <w:highlight w:val="none"/>
          <w:lang w:val="en-US" w:eastAsia="zh-CN"/>
        </w:rPr>
        <w:t>受托</w:t>
      </w:r>
      <w:r>
        <w:rPr>
          <w:rFonts w:hint="eastAsia"/>
          <w:bCs/>
          <w:color w:val="auto"/>
          <w:kern w:val="2"/>
          <w:sz w:val="21"/>
          <w:szCs w:val="21"/>
          <w:highlight w:val="none"/>
          <w:lang w:eastAsia="zh-CN"/>
        </w:rPr>
        <w:t>人</w:t>
      </w:r>
      <w:r>
        <w:rPr>
          <w:rFonts w:hint="eastAsia"/>
          <w:color w:val="auto"/>
          <w:spacing w:val="-3"/>
          <w:kern w:val="2"/>
          <w:sz w:val="21"/>
          <w:szCs w:val="21"/>
          <w:highlight w:val="none"/>
          <w:lang w:eastAsia="zh-CN"/>
        </w:rPr>
        <w:t>废标，有权没收其投标保证金，并按照国家相关法律、法规和规章的规定，建议行政主管部门予以处罚。</w:t>
      </w:r>
    </w:p>
    <w:p w14:paraId="32984234">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color w:val="auto"/>
          <w:szCs w:val="21"/>
          <w:highlight w:val="none"/>
        </w:rPr>
      </w:pPr>
      <w:r>
        <w:rPr>
          <w:rFonts w:hint="eastAsia"/>
          <w:color w:val="auto"/>
          <w:kern w:val="2"/>
          <w:sz w:val="21"/>
          <w:szCs w:val="21"/>
          <w:highlight w:val="none"/>
          <w:lang w:val="en-US" w:eastAsia="zh-CN"/>
        </w:rPr>
        <w:t>委托</w:t>
      </w:r>
      <w:r>
        <w:rPr>
          <w:rFonts w:hint="eastAsia"/>
          <w:color w:val="auto"/>
          <w:kern w:val="2"/>
          <w:sz w:val="21"/>
          <w:szCs w:val="21"/>
          <w:highlight w:val="none"/>
          <w:lang w:eastAsia="zh-CN"/>
        </w:rPr>
        <w:t>人履约保证金专用帐户（收款单位：</w:t>
      </w:r>
      <w:r>
        <w:rPr>
          <w:rFonts w:hint="eastAsia"/>
          <w:color w:val="auto"/>
          <w:kern w:val="2"/>
          <w:sz w:val="21"/>
          <w:szCs w:val="21"/>
          <w:highlight w:val="none"/>
          <w:u w:val="single"/>
          <w:lang w:eastAsia="zh-CN"/>
        </w:rPr>
        <w:t>盐城东方投资开集团有限公司</w:t>
      </w:r>
      <w:r>
        <w:rPr>
          <w:rFonts w:hint="eastAsia"/>
          <w:color w:val="auto"/>
          <w:kern w:val="2"/>
          <w:sz w:val="21"/>
          <w:szCs w:val="21"/>
          <w:highlight w:val="none"/>
          <w:lang w:eastAsia="zh-CN"/>
        </w:rPr>
        <w:t>；开户银行：</w:t>
      </w:r>
      <w:r>
        <w:rPr>
          <w:rFonts w:hint="eastAsia"/>
          <w:color w:val="auto"/>
          <w:kern w:val="2"/>
          <w:sz w:val="21"/>
          <w:szCs w:val="21"/>
          <w:highlight w:val="none"/>
          <w:u w:val="single"/>
          <w:lang w:eastAsia="zh-CN"/>
        </w:rPr>
        <w:t>中国建设银行盐城开发区支行</w:t>
      </w:r>
      <w:r>
        <w:rPr>
          <w:rFonts w:hint="eastAsia"/>
          <w:color w:val="auto"/>
          <w:kern w:val="2"/>
          <w:sz w:val="21"/>
          <w:szCs w:val="21"/>
          <w:highlight w:val="none"/>
          <w:lang w:eastAsia="zh-CN"/>
        </w:rPr>
        <w:t>；账号：</w:t>
      </w:r>
      <w:r>
        <w:rPr>
          <w:rFonts w:hint="eastAsia"/>
          <w:color w:val="auto"/>
          <w:kern w:val="2"/>
          <w:sz w:val="21"/>
          <w:szCs w:val="21"/>
          <w:highlight w:val="none"/>
          <w:u w:val="single"/>
          <w:lang w:eastAsia="zh-CN"/>
        </w:rPr>
        <w:t>32001735336050837146</w:t>
      </w:r>
      <w:r>
        <w:rPr>
          <w:rFonts w:hint="eastAsia"/>
          <w:color w:val="auto"/>
          <w:kern w:val="2"/>
          <w:sz w:val="21"/>
          <w:szCs w:val="21"/>
          <w:highlight w:val="none"/>
          <w:lang w:eastAsia="zh-CN"/>
        </w:rPr>
        <w:t>）。</w:t>
      </w:r>
    </w:p>
    <w:p w14:paraId="73C938C8">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hint="eastAsia" w:ascii="Arial" w:hAnsi="Arial" w:cs="Arial" w:eastAsiaTheme="minorEastAsia"/>
          <w:b/>
          <w:bCs/>
          <w:color w:val="auto"/>
          <w:szCs w:val="21"/>
          <w:highlight w:val="none"/>
          <w:lang w:eastAsia="zh-CN"/>
        </w:rPr>
        <w:t>八</w:t>
      </w:r>
      <w:r>
        <w:rPr>
          <w:rFonts w:ascii="Arial" w:hAnsi="Arial" w:cs="Arial" w:eastAsiaTheme="minorEastAsia"/>
          <w:b/>
          <w:bCs/>
          <w:color w:val="auto"/>
          <w:szCs w:val="21"/>
          <w:highlight w:val="none"/>
        </w:rPr>
        <w:t>、合同当事人的权利和义务</w:t>
      </w:r>
    </w:p>
    <w:p w14:paraId="099440E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1、委托人的权利和义务</w:t>
      </w:r>
    </w:p>
    <w:p w14:paraId="178A954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（1）委托人应当（包含督促被评估单位、产权持有人）依法提供资产评估业务需要的资料并保证资料的真实性、完整性、合法性；恰当使用资产评估报告是委托人和其他相关当事人的责任。</w:t>
      </w:r>
    </w:p>
    <w:p w14:paraId="3A8E1AA4">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（2）委托人或者其他相关当事人（包含被评估单位、产权持有人）应当对其提供的资产评估明细表及其他重要资料的真实性、完整性、合法性进行确认，确认方式包括签字、盖章或者法律允许的其他方式。</w:t>
      </w:r>
    </w:p>
    <w:p w14:paraId="19E19B6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（3）委托人应当为</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及其资产评估专业人员开展资产评估业务提供必要的工作条件和协助</w:t>
      </w:r>
      <w:r>
        <w:rPr>
          <w:rFonts w:hint="eastAsia" w:ascii="Arial" w:hAnsi="Arial" w:cs="Arial" w:eastAsiaTheme="minorEastAsia"/>
          <w:color w:val="auto"/>
          <w:szCs w:val="21"/>
          <w:highlight w:val="none"/>
          <w:lang w:eastAsia="zh-CN"/>
        </w:rPr>
        <w:t>，</w:t>
      </w:r>
      <w:r>
        <w:rPr>
          <w:rFonts w:hint="eastAsia" w:ascii="Arial" w:hAnsi="Arial" w:cs="Arial" w:eastAsiaTheme="minorEastAsia"/>
          <w:color w:val="auto"/>
          <w:szCs w:val="21"/>
          <w:highlight w:val="none"/>
          <w:lang w:val="en-US" w:eastAsia="zh-CN"/>
        </w:rPr>
        <w:t>受托人评估专业人员的食宿由受托人自理</w:t>
      </w:r>
      <w:r>
        <w:rPr>
          <w:rFonts w:ascii="Arial" w:hAnsi="Arial" w:cs="Arial" w:eastAsiaTheme="minorEastAsia"/>
          <w:color w:val="auto"/>
          <w:szCs w:val="21"/>
          <w:highlight w:val="none"/>
        </w:rPr>
        <w:t>；委托人应当根据资产评估业务需要，负责</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及其资产评估专业人员与其他相关当事人之间的协调。</w:t>
      </w:r>
    </w:p>
    <w:p w14:paraId="4B38451E">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（4）委托人对资产评估报告有异议的，可以要求评估机构解释或说明。</w:t>
      </w:r>
    </w:p>
    <w:p w14:paraId="48C0645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（5）按本合同约定的标准、方式及条件支付资产评估服务费用。</w:t>
      </w:r>
    </w:p>
    <w:p w14:paraId="17D652A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2、受托人的权利和义务</w:t>
      </w:r>
    </w:p>
    <w:p w14:paraId="142D532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（1）遵守相关法律、行政法规和资产评估准则，对评估对象在评估基准日特定目的下的价值进行分析和估算并出具资产评估报告，是</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及其资产评估专业人员的责任。</w:t>
      </w:r>
    </w:p>
    <w:p w14:paraId="29DB65B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（2）应当回避指派与委托人或者其他相关当事人及评估对象有利害关系的人员承办本资产评估事项。</w:t>
      </w:r>
    </w:p>
    <w:p w14:paraId="06674D69">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color w:val="auto"/>
          <w:sz w:val="21"/>
          <w:szCs w:val="21"/>
          <w:highlight w:val="none"/>
          <w:lang w:eastAsia="zh-CN"/>
        </w:rPr>
      </w:pPr>
      <w:r>
        <w:rPr>
          <w:rFonts w:hint="eastAsia"/>
          <w:color w:val="auto"/>
          <w:sz w:val="21"/>
          <w:szCs w:val="21"/>
          <w:highlight w:val="none"/>
          <w:lang w:val="en-US" w:eastAsia="zh-CN"/>
        </w:rPr>
        <w:t>受托人指派本荐的</w:t>
      </w:r>
      <w:r>
        <w:rPr>
          <w:rFonts w:hint="eastAsia"/>
          <w:color w:val="auto"/>
          <w:sz w:val="21"/>
          <w:szCs w:val="21"/>
          <w:highlight w:val="none"/>
          <w:lang w:eastAsia="zh-CN"/>
        </w:rPr>
        <w:t>项目负责人：</w:t>
      </w:r>
      <w:r>
        <w:rPr>
          <w:rFonts w:hint="eastAsia"/>
          <w:color w:val="auto"/>
          <w:sz w:val="21"/>
          <w:szCs w:val="21"/>
          <w:highlight w:val="none"/>
          <w:u w:val="single"/>
          <w:lang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 ，联系方式</w:t>
      </w:r>
      <w:r>
        <w:rPr>
          <w:rFonts w:hint="eastAsia"/>
          <w:color w:val="auto"/>
          <w:sz w:val="21"/>
          <w:szCs w:val="21"/>
          <w:highlight w:val="none"/>
          <w:u w:val="single"/>
          <w:lang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p>
    <w:p w14:paraId="60D91A6E">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（3）委托人和其他相关当事人（包含被评估单位、产权持有人）如果拒绝提供或者不如实提供开展资产评估业务所需的权属证明、财务会计信息或者其他相关资料的，</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有权拒绝履行资产评估委托合同。</w:t>
      </w:r>
    </w:p>
    <w:p w14:paraId="03D7D3B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（4）因委托人或者其他相关当事人（包含被评估单位、产权持有人）原因导致资产评估程序受限，</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无法履行资产评估委托合同，</w:t>
      </w:r>
      <w:r>
        <w:rPr>
          <w:rFonts w:hint="default" w:ascii="Arial" w:hAnsi="Arial" w:cs="Arial" w:eastAsiaTheme="minorEastAsia"/>
          <w:color w:val="auto"/>
          <w:szCs w:val="21"/>
          <w:highlight w:val="none"/>
          <w:lang w:val="en-US"/>
        </w:rPr>
        <w:t>资产评估机构</w:t>
      </w:r>
      <w:r>
        <w:rPr>
          <w:rFonts w:hint="eastAsia" w:ascii="Arial" w:hAnsi="Arial" w:cs="Arial" w:eastAsiaTheme="minorEastAsia"/>
          <w:color w:val="auto"/>
          <w:szCs w:val="21"/>
          <w:highlight w:val="none"/>
          <w:lang w:val="en-US" w:eastAsia="zh-CN"/>
        </w:rPr>
        <w:t>受托人</w:t>
      </w:r>
      <w:r>
        <w:rPr>
          <w:rFonts w:ascii="Arial" w:hAnsi="Arial" w:cs="Arial" w:eastAsiaTheme="minorEastAsia"/>
          <w:color w:val="auto"/>
          <w:szCs w:val="21"/>
          <w:highlight w:val="none"/>
        </w:rPr>
        <w:t>可以单方解除资产评估委托合同；受托人有权要求委托人按照已经开展资产评估业务的时间、进度，或者已经完成的工作量支付相应的评估服务费。</w:t>
      </w:r>
    </w:p>
    <w:p w14:paraId="09E1E096">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（5）对委托人（包含被评估单位、产权持有人）提供的全部资料严守秘密；未经委托人许可，受托人不得将资产评估报告的内容、评估结论向第三方提供或者公开，法律、法规另有规定的除外。</w:t>
      </w:r>
    </w:p>
    <w:p w14:paraId="39718A7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（6）依法、合规履行评估程序并保持与委托人及被评估单位（产权持有人）的密切沟通；就资产评估报告涉及的重大政策、评估思路和技术问题向委托人及被评估单位（产权持有人）进行解释和说明。</w:t>
      </w:r>
    </w:p>
    <w:p w14:paraId="53D91AD8">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hint="eastAsia" w:ascii="Arial" w:hAnsi="Arial" w:cs="Arial" w:eastAsiaTheme="minorEastAsia"/>
          <w:b/>
          <w:bCs/>
          <w:color w:val="auto"/>
          <w:szCs w:val="21"/>
          <w:highlight w:val="none"/>
          <w:lang w:eastAsia="zh-CN"/>
        </w:rPr>
        <w:t>九</w:t>
      </w:r>
      <w:r>
        <w:rPr>
          <w:rFonts w:ascii="Arial" w:hAnsi="Arial" w:cs="Arial" w:eastAsiaTheme="minorEastAsia"/>
          <w:b/>
          <w:bCs/>
          <w:color w:val="auto"/>
          <w:szCs w:val="21"/>
          <w:highlight w:val="none"/>
        </w:rPr>
        <w:t>、中（终）止事项</w:t>
      </w:r>
    </w:p>
    <w:p w14:paraId="4AE7ABB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1、若遇到评估过程中出现以下中止情况的，委托人应在受托人书面催告后的十个工作内解决中止事项，以利于本合同的履行。</w:t>
      </w:r>
    </w:p>
    <w:p w14:paraId="34B407E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（1）因委托人或被评估单位（产权持有人）原因造成受托人的评估程序中止的。</w:t>
      </w:r>
    </w:p>
    <w:p w14:paraId="79A073D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（2）当评估程序受到限制，导致对评估结论构成重大影响时，受托人可以中止本合同。</w:t>
      </w:r>
    </w:p>
    <w:p w14:paraId="544C1E4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3、委托人提前终止资产评估业务、解除资产评估委托合同的，委托人应当按照已经开展资产评估业务的时间、进度，或者已经完成的工作量支付相应的评估服务费。</w:t>
      </w:r>
    </w:p>
    <w:p w14:paraId="07327B3D">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4、本合同当事人因不可抗力无法履行资产评估委托合同的，根据不可抗力的影响，部分或者全部免除责任，法律另有规定的除外。委托人应当按照已经开展资产评估业务的时间、进度，或者已经完成的工作量支付相应的评估服务费。</w:t>
      </w:r>
    </w:p>
    <w:p w14:paraId="36AE86C9">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color w:val="auto"/>
          <w:szCs w:val="21"/>
          <w:highlight w:val="none"/>
        </w:rPr>
      </w:pPr>
      <w:r>
        <w:rPr>
          <w:rFonts w:hint="eastAsia" w:ascii="Arial" w:hAnsi="Arial" w:cs="Arial" w:eastAsiaTheme="minorEastAsia"/>
          <w:b/>
          <w:bCs/>
          <w:color w:val="auto"/>
          <w:szCs w:val="21"/>
          <w:highlight w:val="none"/>
          <w:lang w:eastAsia="zh-CN"/>
        </w:rPr>
        <w:t>十</w:t>
      </w:r>
      <w:r>
        <w:rPr>
          <w:rFonts w:ascii="Arial" w:hAnsi="Arial" w:cs="Arial" w:eastAsiaTheme="minorEastAsia"/>
          <w:b/>
          <w:bCs/>
          <w:color w:val="auto"/>
          <w:szCs w:val="21"/>
          <w:highlight w:val="none"/>
        </w:rPr>
        <w:t>、争议解决</w:t>
      </w:r>
    </w:p>
    <w:p w14:paraId="6075ACA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hint="eastAsia" w:hAnsi="宋体"/>
          <w:color w:val="auto"/>
          <w:szCs w:val="21"/>
          <w:highlight w:val="none"/>
        </w:rPr>
        <w:t>双方在执行合同中所发生的一切争议，应通过协商解决。如协商不成，可向甲方所在地有管辖权的法院起诉。</w:t>
      </w:r>
      <w:r>
        <w:rPr>
          <w:rFonts w:ascii="Arial" w:hAnsi="Arial" w:cs="Arial" w:eastAsiaTheme="minorEastAsia"/>
          <w:color w:val="auto"/>
          <w:szCs w:val="21"/>
          <w:highlight w:val="none"/>
        </w:rPr>
        <w:t xml:space="preserve"> </w:t>
      </w:r>
    </w:p>
    <w:p w14:paraId="1D6C6DA3">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color w:val="auto"/>
          <w:szCs w:val="21"/>
          <w:highlight w:val="none"/>
        </w:rPr>
      </w:pPr>
      <w:r>
        <w:rPr>
          <w:rFonts w:ascii="Arial" w:hAnsi="Arial" w:cs="Arial" w:eastAsiaTheme="minorEastAsia"/>
          <w:b/>
          <w:bCs/>
          <w:color w:val="auto"/>
          <w:szCs w:val="21"/>
          <w:highlight w:val="none"/>
        </w:rPr>
        <w:t>十</w:t>
      </w:r>
      <w:r>
        <w:rPr>
          <w:rFonts w:hint="eastAsia" w:ascii="Arial" w:hAnsi="Arial" w:cs="Arial" w:eastAsiaTheme="minorEastAsia"/>
          <w:b/>
          <w:bCs/>
          <w:color w:val="auto"/>
          <w:szCs w:val="21"/>
          <w:highlight w:val="none"/>
          <w:lang w:eastAsia="zh-CN"/>
        </w:rPr>
        <w:t>一</w:t>
      </w:r>
      <w:r>
        <w:rPr>
          <w:rFonts w:ascii="Arial" w:hAnsi="Arial" w:cs="Arial" w:eastAsiaTheme="minorEastAsia"/>
          <w:b/>
          <w:bCs/>
          <w:color w:val="auto"/>
          <w:szCs w:val="21"/>
          <w:highlight w:val="none"/>
        </w:rPr>
        <w:t>、其他约</w:t>
      </w:r>
      <w:r>
        <w:rPr>
          <w:rFonts w:ascii="Arial" w:hAnsi="Arial" w:cs="Arial" w:eastAsiaTheme="minorEastAsia"/>
          <w:color w:val="auto"/>
          <w:szCs w:val="21"/>
          <w:highlight w:val="none"/>
        </w:rPr>
        <w:t>定</w:t>
      </w:r>
    </w:p>
    <w:p w14:paraId="63B6D53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1、本合同中所列之委托人、受托人的住所地、电话、邮箱为双方确定的联系方式。受托人向委托人按该住所地邮寄、邮箱发送资料（含资产评估报告）的，视为受托人履行了本合同约定或法律规定的提交资产评估报告、通知及催告等义务。</w:t>
      </w:r>
    </w:p>
    <w:p w14:paraId="781D7D8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2、本合同订立后发现相关事项存在遗漏、约定不明确，或者在合同履行中约定内容发生变化的（包含不限于）：委托人的经济行为方案发生变化而出现事先未曾约定的新增评估事项的；因评估目的、评估对象、评估基准日、价值类型发生变化，导致原委托事项性质发生变化的；原委托评估范围发生较大变化，导致受托人需再次进入现场重新进行现场勘查、资产核实并调整、补充出具评估报告的，受托人与委托人应当订立补充合同或者重新订立资产评估委托合同，或者以法律允许的其他方式对资产评估委托合同的相关条款做出后续约定。</w:t>
      </w:r>
    </w:p>
    <w:p w14:paraId="4FCBC48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rPr>
      </w:pPr>
      <w:r>
        <w:rPr>
          <w:rFonts w:ascii="Arial" w:hAnsi="Arial" w:cs="Arial" w:eastAsiaTheme="minorEastAsia"/>
          <w:color w:val="auto"/>
          <w:szCs w:val="21"/>
          <w:highlight w:val="none"/>
        </w:rPr>
        <w:t>3、本合同</w:t>
      </w:r>
      <w:r>
        <w:rPr>
          <w:rFonts w:hint="eastAsia" w:ascii="Arial" w:hAnsi="Arial" w:cs="Arial" w:eastAsiaTheme="minorEastAsia"/>
          <w:color w:val="auto"/>
          <w:szCs w:val="21"/>
          <w:highlight w:val="none"/>
          <w:lang w:val="en-US" w:eastAsia="zh-CN"/>
        </w:rPr>
        <w:t>经双方签字、盖章后生效，</w:t>
      </w:r>
      <w:r>
        <w:rPr>
          <w:rFonts w:ascii="Arial" w:hAnsi="Arial" w:cs="Arial" w:eastAsiaTheme="minorEastAsia"/>
          <w:color w:val="auto"/>
          <w:szCs w:val="21"/>
          <w:highlight w:val="none"/>
        </w:rPr>
        <w:t>一式</w:t>
      </w:r>
      <w:r>
        <w:rPr>
          <w:rFonts w:hint="eastAsia" w:ascii="Arial" w:hAnsi="Arial" w:cs="Arial" w:eastAsiaTheme="minorEastAsia"/>
          <w:color w:val="auto"/>
          <w:szCs w:val="21"/>
          <w:highlight w:val="none"/>
          <w:u w:val="single"/>
          <w:lang w:val="en-US" w:eastAsia="zh-CN"/>
        </w:rPr>
        <w:t xml:space="preserve">  </w:t>
      </w:r>
      <w:r>
        <w:rPr>
          <w:rFonts w:hint="eastAsia" w:ascii="Arial" w:hAnsi="Arial" w:cs="Arial" w:eastAsiaTheme="minorEastAsia"/>
          <w:color w:val="auto"/>
          <w:szCs w:val="21"/>
          <w:highlight w:val="none"/>
          <w:u w:val="single"/>
          <w:lang w:eastAsia="zh-CN"/>
        </w:rPr>
        <w:t>陆</w:t>
      </w:r>
      <w:r>
        <w:rPr>
          <w:rFonts w:hint="eastAsia" w:ascii="Arial" w:hAnsi="Arial" w:cs="Arial" w:eastAsiaTheme="minorEastAsia"/>
          <w:color w:val="auto"/>
          <w:szCs w:val="21"/>
          <w:highlight w:val="none"/>
          <w:u w:val="single"/>
          <w:lang w:val="en-US" w:eastAsia="zh-CN"/>
        </w:rPr>
        <w:t xml:space="preserve">  </w:t>
      </w:r>
      <w:r>
        <w:rPr>
          <w:rFonts w:ascii="Arial" w:hAnsi="Arial" w:cs="Arial" w:eastAsiaTheme="minorEastAsia"/>
          <w:color w:val="auto"/>
          <w:szCs w:val="21"/>
          <w:highlight w:val="none"/>
        </w:rPr>
        <w:t>份，委托人持</w:t>
      </w:r>
      <w:r>
        <w:rPr>
          <w:rFonts w:hint="eastAsia" w:ascii="Arial" w:hAnsi="Arial" w:cs="Arial" w:eastAsiaTheme="minorEastAsia"/>
          <w:color w:val="auto"/>
          <w:szCs w:val="21"/>
          <w:highlight w:val="none"/>
          <w:u w:val="single"/>
          <w:lang w:val="en-US" w:eastAsia="zh-CN"/>
        </w:rPr>
        <w:t xml:space="preserve">  叁  </w:t>
      </w:r>
      <w:r>
        <w:rPr>
          <w:rFonts w:ascii="Arial" w:hAnsi="Arial" w:cs="Arial" w:eastAsiaTheme="minorEastAsia"/>
          <w:color w:val="auto"/>
          <w:szCs w:val="21"/>
          <w:highlight w:val="none"/>
        </w:rPr>
        <w:t>份、受托人持</w:t>
      </w:r>
      <w:r>
        <w:rPr>
          <w:rFonts w:hint="eastAsia" w:ascii="Arial" w:hAnsi="Arial" w:cs="Arial" w:eastAsiaTheme="minorEastAsia"/>
          <w:color w:val="auto"/>
          <w:szCs w:val="21"/>
          <w:highlight w:val="none"/>
          <w:u w:val="single"/>
          <w:lang w:val="en-US" w:eastAsia="zh-CN"/>
        </w:rPr>
        <w:t xml:space="preserve">   </w:t>
      </w:r>
      <w:r>
        <w:rPr>
          <w:rFonts w:hint="eastAsia" w:ascii="Arial" w:hAnsi="Arial" w:cs="Arial" w:eastAsiaTheme="minorEastAsia"/>
          <w:color w:val="auto"/>
          <w:szCs w:val="21"/>
          <w:highlight w:val="none"/>
          <w:u w:val="single"/>
          <w:lang w:eastAsia="zh-CN"/>
        </w:rPr>
        <w:t>叁</w:t>
      </w:r>
      <w:r>
        <w:rPr>
          <w:rFonts w:hint="eastAsia" w:ascii="Arial" w:hAnsi="Arial" w:cs="Arial" w:eastAsiaTheme="minorEastAsia"/>
          <w:color w:val="auto"/>
          <w:szCs w:val="21"/>
          <w:highlight w:val="none"/>
          <w:u w:val="single"/>
          <w:lang w:val="en-US" w:eastAsia="zh-CN"/>
        </w:rPr>
        <w:t xml:space="preserve"> </w:t>
      </w:r>
      <w:r>
        <w:rPr>
          <w:rFonts w:ascii="Arial" w:hAnsi="Arial" w:cs="Arial" w:eastAsiaTheme="minorEastAsia"/>
          <w:color w:val="auto"/>
          <w:szCs w:val="21"/>
          <w:highlight w:val="none"/>
        </w:rPr>
        <w:t>份。</w:t>
      </w:r>
    </w:p>
    <w:p w14:paraId="02DDF59D">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color w:val="auto"/>
          <w:szCs w:val="21"/>
          <w:highlight w:val="none"/>
          <w:lang w:eastAsia="zh-CN"/>
        </w:rPr>
      </w:pPr>
    </w:p>
    <w:p w14:paraId="4B658752">
      <w:pPr>
        <w:keepNext w:val="0"/>
        <w:keepLines w:val="0"/>
        <w:pageBreakBefore w:val="0"/>
        <w:widowControl w:val="0"/>
        <w:kinsoku/>
        <w:wordWrap/>
        <w:overflowPunct/>
        <w:topLinePunct w:val="0"/>
        <w:autoSpaceDE/>
        <w:autoSpaceDN/>
        <w:bidi w:val="0"/>
        <w:adjustRightInd/>
        <w:snapToGrid/>
        <w:spacing w:line="700" w:lineRule="exact"/>
        <w:ind w:left="0" w:firstLine="0" w:firstLineChars="0"/>
        <w:textAlignment w:val="auto"/>
        <w:rPr>
          <w:rFonts w:ascii="Arial" w:hAnsi="Arial" w:cs="Arial"/>
          <w:color w:val="auto"/>
          <w:sz w:val="21"/>
          <w:szCs w:val="21"/>
          <w:highlight w:val="none"/>
          <w:lang w:eastAsia="zh-CN"/>
        </w:rPr>
      </w:pPr>
      <w:r>
        <w:rPr>
          <w:rFonts w:ascii="Arial" w:hAnsi="Arial" w:cs="Arial"/>
          <w:color w:val="auto"/>
          <w:sz w:val="21"/>
          <w:szCs w:val="21"/>
          <w:highlight w:val="none"/>
          <w:lang w:eastAsia="zh-CN"/>
        </w:rPr>
        <w:t>委托人</w:t>
      </w: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盖章</w:t>
      </w:r>
      <w:r>
        <w:rPr>
          <w:rFonts w:hint="eastAsia" w:ascii="Arial" w:hAnsi="Arial" w:cs="Arial"/>
          <w:color w:val="auto"/>
          <w:sz w:val="21"/>
          <w:szCs w:val="21"/>
          <w:highlight w:val="none"/>
          <w:lang w:eastAsia="zh-CN"/>
        </w:rPr>
        <w:t>）</w:t>
      </w:r>
      <w:r>
        <w:rPr>
          <w:rFonts w:ascii="Arial" w:hAnsi="Arial" w:cs="Arial"/>
          <w:color w:val="auto"/>
          <w:sz w:val="21"/>
          <w:szCs w:val="21"/>
          <w:highlight w:val="none"/>
          <w:lang w:eastAsia="zh-CN"/>
        </w:rPr>
        <w:t>：</w:t>
      </w:r>
      <w:r>
        <w:rPr>
          <w:rFonts w:hint="eastAsia" w:ascii="Arial" w:hAnsi="Arial" w:cs="Arial"/>
          <w:b/>
          <w:color w:val="auto"/>
          <w:sz w:val="21"/>
          <w:szCs w:val="21"/>
          <w:highlight w:val="none"/>
          <w:lang w:eastAsia="zh-CN"/>
        </w:rPr>
        <w:t xml:space="preserve">                                                  </w:t>
      </w:r>
      <w:r>
        <w:rPr>
          <w:rFonts w:ascii="Arial" w:hAnsi="Arial" w:cs="Arial"/>
          <w:b/>
          <w:color w:val="auto"/>
          <w:sz w:val="21"/>
          <w:szCs w:val="21"/>
          <w:highlight w:val="none"/>
          <w:lang w:eastAsia="zh-CN"/>
        </w:rPr>
        <w:t xml:space="preserve">     </w:t>
      </w:r>
      <w:r>
        <w:rPr>
          <w:rFonts w:hint="eastAsia" w:ascii="Arial" w:hAnsi="Arial" w:cs="Arial"/>
          <w:b/>
          <w:color w:val="auto"/>
          <w:sz w:val="21"/>
          <w:szCs w:val="21"/>
          <w:highlight w:val="none"/>
          <w:lang w:val="en-US" w:eastAsia="zh-CN"/>
        </w:rPr>
        <w:t xml:space="preserve">  </w:t>
      </w:r>
      <w:r>
        <w:rPr>
          <w:rFonts w:ascii="Arial" w:hAnsi="Arial" w:cs="Arial"/>
          <w:color w:val="auto"/>
          <w:sz w:val="21"/>
          <w:szCs w:val="21"/>
          <w:highlight w:val="none"/>
          <w:lang w:eastAsia="zh-CN"/>
        </w:rPr>
        <w:t>受托人</w:t>
      </w: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盖章</w:t>
      </w:r>
      <w:r>
        <w:rPr>
          <w:rFonts w:hint="eastAsia" w:ascii="Arial" w:hAnsi="Arial" w:cs="Arial"/>
          <w:color w:val="auto"/>
          <w:sz w:val="21"/>
          <w:szCs w:val="21"/>
          <w:highlight w:val="none"/>
          <w:lang w:eastAsia="zh-CN"/>
        </w:rPr>
        <w:t>）</w:t>
      </w:r>
      <w:r>
        <w:rPr>
          <w:rFonts w:ascii="Arial" w:hAnsi="Arial" w:cs="Arial"/>
          <w:color w:val="auto"/>
          <w:sz w:val="21"/>
          <w:szCs w:val="21"/>
          <w:highlight w:val="none"/>
          <w:lang w:eastAsia="zh-CN"/>
        </w:rPr>
        <w:t>：</w:t>
      </w:r>
      <w:r>
        <w:rPr>
          <w:rFonts w:hint="eastAsia" w:ascii="Arial" w:hAnsi="Arial" w:cs="Arial"/>
          <w:color w:val="auto"/>
          <w:sz w:val="21"/>
          <w:szCs w:val="21"/>
          <w:highlight w:val="none"/>
          <w:lang w:eastAsia="zh-CN"/>
        </w:rPr>
        <w:t xml:space="preserve">    </w:t>
      </w:r>
      <w:r>
        <w:rPr>
          <w:rFonts w:hint="eastAsia" w:ascii="Arial" w:hAnsi="Arial" w:cs="Arial"/>
          <w:color w:val="auto"/>
          <w:sz w:val="21"/>
          <w:szCs w:val="21"/>
          <w:highlight w:val="none"/>
          <w:lang w:val="en-US" w:eastAsia="zh-CN"/>
        </w:rPr>
        <w:t xml:space="preserve">                                                            </w:t>
      </w:r>
    </w:p>
    <w:p w14:paraId="27CFF6C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val="0"/>
          <w:bCs w:val="0"/>
          <w:color w:val="auto"/>
          <w:sz w:val="21"/>
          <w:szCs w:val="21"/>
          <w:highlight w:val="none"/>
          <w:lang w:eastAsia="zh-CN"/>
        </w:rPr>
      </w:pPr>
      <w:r>
        <w:rPr>
          <w:rFonts w:ascii="Arial" w:hAnsi="Arial" w:cs="Arial"/>
          <w:color w:val="auto"/>
          <w:sz w:val="21"/>
          <w:szCs w:val="21"/>
          <w:highlight w:val="none"/>
          <w:lang w:eastAsia="zh-CN"/>
        </w:rPr>
        <w:t>法定代表人</w:t>
      </w:r>
      <w:r>
        <w:rPr>
          <w:rFonts w:hint="eastAsia" w:ascii="Arial" w:hAnsi="Arial" w:cs="Arial"/>
          <w:color w:val="auto"/>
          <w:sz w:val="21"/>
          <w:szCs w:val="21"/>
          <w:highlight w:val="none"/>
          <w:lang w:eastAsia="zh-CN"/>
        </w:rPr>
        <w:t>或授权</w:t>
      </w:r>
      <w:r>
        <w:rPr>
          <w:rFonts w:hint="eastAsia" w:ascii="Arial" w:hAnsi="Arial" w:cs="Arial"/>
          <w:color w:val="auto"/>
          <w:sz w:val="21"/>
          <w:szCs w:val="21"/>
          <w:highlight w:val="none"/>
          <w:lang w:val="en-US" w:eastAsia="zh-CN"/>
        </w:rPr>
        <w:t>代表</w:t>
      </w:r>
      <w:r>
        <w:rPr>
          <w:rFonts w:ascii="Arial" w:hAnsi="Arial" w:cs="Arial"/>
          <w:color w:val="auto"/>
          <w:sz w:val="21"/>
          <w:szCs w:val="21"/>
          <w:highlight w:val="none"/>
          <w:lang w:eastAsia="zh-CN"/>
        </w:rPr>
        <w:t>（签名</w:t>
      </w:r>
      <w:r>
        <w:rPr>
          <w:rFonts w:hint="eastAsia" w:ascii="Arial" w:hAnsi="Arial" w:cs="Arial"/>
          <w:color w:val="auto"/>
          <w:sz w:val="21"/>
          <w:szCs w:val="21"/>
          <w:highlight w:val="none"/>
          <w:lang w:eastAsia="zh-CN"/>
        </w:rPr>
        <w:t>或盖章</w:t>
      </w:r>
      <w:r>
        <w:rPr>
          <w:rFonts w:ascii="Arial" w:hAnsi="Arial" w:cs="Arial"/>
          <w:color w:val="auto"/>
          <w:sz w:val="21"/>
          <w:szCs w:val="21"/>
          <w:highlight w:val="none"/>
          <w:lang w:eastAsia="zh-CN"/>
        </w:rPr>
        <w:t xml:space="preserve">）：            </w:t>
      </w:r>
      <w:r>
        <w:rPr>
          <w:rFonts w:hint="eastAsia" w:ascii="Arial" w:hAnsi="Arial" w:cs="Arial"/>
          <w:color w:val="auto"/>
          <w:sz w:val="21"/>
          <w:szCs w:val="21"/>
          <w:highlight w:val="none"/>
          <w:lang w:val="en-US" w:eastAsia="zh-CN"/>
        </w:rPr>
        <w:t xml:space="preserve">         </w:t>
      </w:r>
      <w:r>
        <w:rPr>
          <w:rFonts w:ascii="Arial" w:hAnsi="Arial" w:cs="Arial"/>
          <w:color w:val="auto"/>
          <w:sz w:val="21"/>
          <w:szCs w:val="21"/>
          <w:highlight w:val="none"/>
          <w:lang w:eastAsia="zh-CN"/>
        </w:rPr>
        <w:t>法定代表人</w:t>
      </w:r>
      <w:r>
        <w:rPr>
          <w:rFonts w:hint="eastAsia"/>
          <w:b w:val="0"/>
          <w:bCs w:val="0"/>
          <w:color w:val="auto"/>
          <w:kern w:val="2"/>
          <w:sz w:val="21"/>
          <w:szCs w:val="21"/>
          <w:highlight w:val="none"/>
          <w:lang w:eastAsia="zh-CN"/>
        </w:rPr>
        <w:t>（执行事务</w:t>
      </w:r>
      <w:r>
        <w:rPr>
          <w:rFonts w:hint="eastAsia"/>
          <w:b w:val="0"/>
          <w:bCs w:val="0"/>
          <w:color w:val="auto"/>
          <w:sz w:val="21"/>
          <w:szCs w:val="21"/>
          <w:highlight w:val="none"/>
          <w:lang w:eastAsia="zh-CN"/>
        </w:rPr>
        <w:t>合伙人）</w:t>
      </w:r>
    </w:p>
    <w:p w14:paraId="2BEF7655">
      <w:pPr>
        <w:pStyle w:val="24"/>
        <w:keepNext w:val="0"/>
        <w:keepLines w:val="0"/>
        <w:pageBreakBefore w:val="0"/>
        <w:widowControl w:val="0"/>
        <w:kinsoku/>
        <w:wordWrap/>
        <w:overflowPunct/>
        <w:topLinePunct w:val="0"/>
        <w:autoSpaceDE/>
        <w:autoSpaceDN/>
        <w:bidi w:val="0"/>
        <w:adjustRightInd/>
        <w:snapToGrid/>
        <w:spacing w:line="440" w:lineRule="exact"/>
        <w:ind w:firstLine="4987" w:firstLineChars="2375"/>
        <w:textAlignment w:val="auto"/>
        <w:rPr>
          <w:rFonts w:ascii="Arial" w:hAnsi="Arial" w:cs="Arial" w:eastAsiaTheme="minorEastAsia"/>
          <w:color w:val="auto"/>
          <w:sz w:val="21"/>
          <w:szCs w:val="21"/>
          <w:highlight w:val="none"/>
          <w:lang w:eastAsia="zh-CN"/>
        </w:rPr>
      </w:pPr>
      <w:r>
        <w:rPr>
          <w:rFonts w:hint="default" w:ascii="Arial" w:hAnsi="Arial" w:cs="Arial" w:eastAsiaTheme="minorEastAsia"/>
          <w:color w:val="auto"/>
          <w:sz w:val="21"/>
          <w:szCs w:val="21"/>
          <w:highlight w:val="none"/>
          <w:lang w:eastAsia="zh-CN"/>
        </w:rPr>
        <w:t>或授权</w:t>
      </w:r>
      <w:r>
        <w:rPr>
          <w:rFonts w:hint="default" w:ascii="Arial" w:hAnsi="Arial" w:cs="Arial" w:eastAsiaTheme="minorEastAsia"/>
          <w:color w:val="auto"/>
          <w:sz w:val="21"/>
          <w:szCs w:val="21"/>
          <w:highlight w:val="none"/>
          <w:lang w:val="en-US" w:eastAsia="zh-CN"/>
        </w:rPr>
        <w:t>代表</w:t>
      </w:r>
      <w:r>
        <w:rPr>
          <w:rFonts w:ascii="Arial" w:hAnsi="Arial" w:cs="Arial" w:eastAsiaTheme="minorEastAsia"/>
          <w:color w:val="auto"/>
          <w:sz w:val="21"/>
          <w:szCs w:val="21"/>
          <w:highlight w:val="none"/>
          <w:lang w:eastAsia="zh-CN"/>
        </w:rPr>
        <w:t>（签名</w:t>
      </w:r>
      <w:r>
        <w:rPr>
          <w:rFonts w:hint="default" w:ascii="Arial" w:hAnsi="Arial" w:cs="Arial" w:eastAsiaTheme="minorEastAsia"/>
          <w:color w:val="auto"/>
          <w:sz w:val="21"/>
          <w:szCs w:val="21"/>
          <w:highlight w:val="none"/>
          <w:lang w:eastAsia="zh-CN"/>
        </w:rPr>
        <w:t>或盖章</w:t>
      </w:r>
      <w:r>
        <w:rPr>
          <w:rFonts w:ascii="Arial" w:hAnsi="Arial" w:cs="Arial" w:eastAsiaTheme="minorEastAsia"/>
          <w:color w:val="auto"/>
          <w:sz w:val="21"/>
          <w:szCs w:val="21"/>
          <w:highlight w:val="none"/>
          <w:lang w:eastAsia="zh-CN"/>
        </w:rPr>
        <w:t>）：</w:t>
      </w:r>
    </w:p>
    <w:p w14:paraId="68CD5233">
      <w:pPr>
        <w:keepNext w:val="0"/>
        <w:keepLines w:val="0"/>
        <w:pageBreakBefore w:val="0"/>
        <w:widowControl w:val="0"/>
        <w:kinsoku/>
        <w:wordWrap/>
        <w:overflowPunct/>
        <w:topLinePunct w:val="0"/>
        <w:autoSpaceDE/>
        <w:autoSpaceDN/>
        <w:bidi w:val="0"/>
        <w:snapToGrid/>
        <w:spacing w:line="440" w:lineRule="exact"/>
        <w:textAlignment w:val="auto"/>
        <w:rPr>
          <w:rFonts w:hint="eastAsia" w:ascii="Arial" w:hAnsi="Arial" w:cs="Arial"/>
          <w:color w:val="auto"/>
          <w:sz w:val="21"/>
          <w:szCs w:val="21"/>
          <w:highlight w:val="none"/>
          <w:lang w:eastAsia="zh-CN"/>
        </w:rPr>
      </w:pPr>
      <w:r>
        <w:rPr>
          <w:rFonts w:ascii="Arial" w:hAnsi="Arial" w:cs="Arial"/>
          <w:color w:val="auto"/>
          <w:sz w:val="21"/>
          <w:szCs w:val="21"/>
          <w:highlight w:val="none"/>
          <w:lang w:eastAsia="zh-CN"/>
        </w:rPr>
        <w:t>住所地：</w:t>
      </w:r>
      <w:r>
        <w:rPr>
          <w:rFonts w:hint="eastAsia" w:ascii="Arial" w:hAnsi="Arial" w:cs="Arial"/>
          <w:color w:val="auto"/>
          <w:sz w:val="21"/>
          <w:szCs w:val="21"/>
          <w:highlight w:val="none"/>
          <w:lang w:eastAsia="zh-CN"/>
        </w:rPr>
        <w:t xml:space="preserve"> </w:t>
      </w:r>
      <w:r>
        <w:rPr>
          <w:rFonts w:hint="eastAsia" w:ascii="Arial" w:hAnsi="Arial" w:cs="Arial"/>
          <w:color w:val="auto"/>
          <w:sz w:val="21"/>
          <w:szCs w:val="21"/>
          <w:highlight w:val="none"/>
          <w:lang w:val="en-US" w:eastAsia="zh-CN"/>
        </w:rPr>
        <w:t xml:space="preserve">                                                                       </w:t>
      </w:r>
      <w:r>
        <w:rPr>
          <w:rFonts w:ascii="Arial" w:hAnsi="Arial" w:cs="Arial"/>
          <w:color w:val="auto"/>
          <w:sz w:val="21"/>
          <w:szCs w:val="21"/>
          <w:highlight w:val="none"/>
          <w:lang w:eastAsia="zh-CN"/>
        </w:rPr>
        <w:t>住所地：</w:t>
      </w:r>
      <w:r>
        <w:rPr>
          <w:rFonts w:hint="eastAsia" w:ascii="Arial" w:hAnsi="Arial" w:cs="Arial"/>
          <w:color w:val="auto"/>
          <w:sz w:val="21"/>
          <w:szCs w:val="21"/>
          <w:highlight w:val="none"/>
          <w:lang w:eastAsia="zh-CN"/>
        </w:rPr>
        <w:t xml:space="preserve"> </w:t>
      </w:r>
    </w:p>
    <w:p w14:paraId="4715DA0D">
      <w:pPr>
        <w:keepNext w:val="0"/>
        <w:keepLines w:val="0"/>
        <w:pageBreakBefore w:val="0"/>
        <w:widowControl w:val="0"/>
        <w:kinsoku/>
        <w:wordWrap/>
        <w:overflowPunct/>
        <w:topLinePunct w:val="0"/>
        <w:autoSpaceDE/>
        <w:autoSpaceDN/>
        <w:bidi w:val="0"/>
        <w:snapToGrid/>
        <w:spacing w:line="440" w:lineRule="exact"/>
        <w:ind w:firstLine="0" w:firstLineChars="0"/>
        <w:textAlignment w:val="auto"/>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联系人及电话：                                                             联系人及电话：</w:t>
      </w:r>
    </w:p>
    <w:p w14:paraId="7CA0B4BB">
      <w:pPr>
        <w:keepNext w:val="0"/>
        <w:keepLines w:val="0"/>
        <w:pageBreakBefore w:val="0"/>
        <w:widowControl w:val="0"/>
        <w:kinsoku/>
        <w:wordWrap/>
        <w:overflowPunct/>
        <w:topLinePunct w:val="0"/>
        <w:autoSpaceDE/>
        <w:autoSpaceDN/>
        <w:bidi w:val="0"/>
        <w:snapToGrid/>
        <w:spacing w:line="440" w:lineRule="exact"/>
        <w:ind w:firstLine="0" w:firstLineChars="0"/>
        <w:textAlignment w:val="auto"/>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邮箱：                                                                            邮箱：</w:t>
      </w:r>
    </w:p>
    <w:p w14:paraId="52F4D0C9">
      <w:pPr>
        <w:keepNext w:val="0"/>
        <w:keepLines w:val="0"/>
        <w:pageBreakBefore w:val="0"/>
        <w:widowControl w:val="0"/>
        <w:kinsoku/>
        <w:wordWrap/>
        <w:overflowPunct/>
        <w:topLinePunct w:val="0"/>
        <w:autoSpaceDE/>
        <w:autoSpaceDN/>
        <w:bidi w:val="0"/>
        <w:snapToGrid/>
        <w:spacing w:line="440" w:lineRule="exact"/>
        <w:ind w:firstLine="5460" w:firstLineChars="2600"/>
        <w:textAlignment w:val="auto"/>
        <w:rPr>
          <w:rFonts w:ascii="Arial" w:hAnsi="Arial" w:cs="Arial"/>
          <w:color w:val="auto"/>
          <w:sz w:val="21"/>
          <w:szCs w:val="21"/>
          <w:highlight w:val="none"/>
        </w:rPr>
      </w:pPr>
      <w:r>
        <w:rPr>
          <w:rFonts w:hint="eastAsia" w:ascii="Arial" w:hAnsi="Arial" w:cs="Arial"/>
          <w:color w:val="auto"/>
          <w:sz w:val="21"/>
          <w:szCs w:val="21"/>
          <w:highlight w:val="none"/>
          <w:lang w:eastAsia="zh-CN"/>
        </w:rPr>
        <w:t>合同签订日期：</w:t>
      </w:r>
      <w:r>
        <w:rPr>
          <w:rFonts w:hint="eastAsia" w:ascii="Arial" w:hAnsi="Arial" w:cs="Arial"/>
          <w:color w:val="auto"/>
          <w:sz w:val="21"/>
          <w:szCs w:val="21"/>
          <w:highlight w:val="none"/>
          <w:lang w:val="en-US" w:eastAsia="zh-CN"/>
        </w:rPr>
        <w:t>2025</w:t>
      </w:r>
      <w:r>
        <w:rPr>
          <w:rFonts w:ascii="Arial" w:hAnsi="Arial" w:cs="Arial"/>
          <w:color w:val="auto"/>
          <w:sz w:val="21"/>
          <w:szCs w:val="21"/>
          <w:highlight w:val="none"/>
        </w:rPr>
        <w:t>年</w:t>
      </w:r>
      <w:r>
        <w:rPr>
          <w:rFonts w:hint="eastAsia" w:ascii="Arial" w:hAnsi="Arial" w:cs="Arial"/>
          <w:color w:val="auto"/>
          <w:sz w:val="21"/>
          <w:szCs w:val="21"/>
          <w:highlight w:val="none"/>
        </w:rPr>
        <w:t xml:space="preserve">   </w:t>
      </w:r>
      <w:r>
        <w:rPr>
          <w:rFonts w:ascii="Arial" w:hAnsi="Arial" w:cs="Arial"/>
          <w:color w:val="auto"/>
          <w:sz w:val="21"/>
          <w:szCs w:val="21"/>
          <w:highlight w:val="none"/>
        </w:rPr>
        <w:t>月</w:t>
      </w:r>
      <w:r>
        <w:rPr>
          <w:rFonts w:hint="eastAsia" w:ascii="Arial" w:hAnsi="Arial" w:cs="Arial"/>
          <w:color w:val="auto"/>
          <w:sz w:val="21"/>
          <w:szCs w:val="21"/>
          <w:highlight w:val="none"/>
        </w:rPr>
        <w:t xml:space="preserve">   </w:t>
      </w:r>
      <w:r>
        <w:rPr>
          <w:rFonts w:ascii="Arial" w:hAnsi="Arial" w:cs="Arial"/>
          <w:color w:val="auto"/>
          <w:sz w:val="21"/>
          <w:szCs w:val="21"/>
          <w:highlight w:val="none"/>
        </w:rPr>
        <w:t>日</w:t>
      </w:r>
    </w:p>
    <w:p w14:paraId="27543146">
      <w:pPr>
        <w:pStyle w:val="24"/>
        <w:spacing w:line="460" w:lineRule="exact"/>
        <w:ind w:firstLine="422" w:firstLineChars="200"/>
        <w:rPr>
          <w:rFonts w:hint="eastAsia" w:hAnsi="宋体"/>
          <w:color w:val="auto"/>
          <w:szCs w:val="21"/>
          <w:highlight w:val="none"/>
        </w:rPr>
      </w:pPr>
      <w:r>
        <w:rPr>
          <w:rFonts w:hint="eastAsia" w:hAnsi="宋体"/>
          <w:b/>
          <w:bCs/>
          <w:color w:val="auto"/>
          <w:szCs w:val="21"/>
          <w:highlight w:val="none"/>
        </w:rPr>
        <w:br w:type="page"/>
      </w:r>
      <w:bookmarkEnd w:id="141"/>
      <w:bookmarkEnd w:id="142"/>
    </w:p>
    <w:p w14:paraId="41AD5355">
      <w:pPr>
        <w:pStyle w:val="65"/>
        <w:spacing w:before="240" w:after="240" w:line="360" w:lineRule="auto"/>
        <w:rPr>
          <w:rFonts w:hint="eastAsia"/>
          <w:color w:val="auto"/>
          <w:sz w:val="36"/>
          <w:szCs w:val="36"/>
          <w:highlight w:val="none"/>
        </w:rPr>
      </w:pPr>
      <w:bookmarkStart w:id="143" w:name="_Toc96353838"/>
      <w:bookmarkStart w:id="144" w:name="_Toc8031848"/>
      <w:bookmarkStart w:id="145" w:name="_Toc65743956"/>
      <w:bookmarkStart w:id="146" w:name="_Toc22613"/>
      <w:bookmarkStart w:id="147" w:name="_Toc68685056"/>
      <w:bookmarkStart w:id="148" w:name="_Toc65742944"/>
      <w:bookmarkStart w:id="149" w:name="_Toc65743843"/>
      <w:r>
        <w:rPr>
          <w:rFonts w:hint="eastAsia"/>
          <w:color w:val="auto"/>
          <w:sz w:val="36"/>
          <w:szCs w:val="36"/>
          <w:highlight w:val="none"/>
        </w:rPr>
        <w:t>第五章 投标文件格式</w:t>
      </w:r>
      <w:bookmarkEnd w:id="143"/>
      <w:bookmarkEnd w:id="144"/>
      <w:bookmarkEnd w:id="145"/>
      <w:bookmarkEnd w:id="146"/>
      <w:bookmarkEnd w:id="147"/>
      <w:bookmarkEnd w:id="148"/>
      <w:bookmarkEnd w:id="149"/>
    </w:p>
    <w:p w14:paraId="21118898">
      <w:pPr>
        <w:tabs>
          <w:tab w:val="left" w:pos="3280"/>
        </w:tabs>
        <w:spacing w:before="240" w:after="240"/>
        <w:ind w:left="2161" w:right="175"/>
        <w:rPr>
          <w:rFonts w:hint="eastAsia"/>
          <w:color w:val="auto"/>
          <w:sz w:val="36"/>
          <w:szCs w:val="36"/>
          <w:highlight w:val="none"/>
          <w:u w:val="single"/>
          <w:lang w:eastAsia="zh-CN"/>
        </w:rPr>
      </w:pPr>
    </w:p>
    <w:p w14:paraId="25BF871B">
      <w:pPr>
        <w:autoSpaceDE w:val="0"/>
        <w:autoSpaceDN w:val="0"/>
        <w:adjustRightInd w:val="0"/>
        <w:spacing w:before="240" w:after="240" w:line="360" w:lineRule="auto"/>
        <w:ind w:firstLine="480" w:firstLineChars="200"/>
        <w:rPr>
          <w:rFonts w:hint="eastAsia"/>
          <w:color w:val="auto"/>
          <w:sz w:val="24"/>
          <w:highlight w:val="none"/>
          <w:lang w:eastAsia="zh-CN"/>
        </w:rPr>
      </w:pPr>
      <w:r>
        <w:rPr>
          <w:rFonts w:hint="eastAsia"/>
          <w:color w:val="auto"/>
          <w:sz w:val="24"/>
          <w:highlight w:val="none"/>
          <w:lang w:eastAsia="zh-CN"/>
        </w:rPr>
        <w:t>（本章仅提供有格式要求的材料模版，具体投标文件组成不限于以下材料，投标人需按“投标人须知”章节中“投标文件”的具体要求编制投标文件）</w:t>
      </w:r>
    </w:p>
    <w:p w14:paraId="0CE13651">
      <w:pPr>
        <w:spacing w:before="240" w:after="240" w:line="360" w:lineRule="auto"/>
        <w:jc w:val="center"/>
        <w:rPr>
          <w:rFonts w:hint="eastAsia"/>
          <w:color w:val="auto"/>
          <w:kern w:val="2"/>
          <w:sz w:val="28"/>
          <w:szCs w:val="28"/>
          <w:highlight w:val="none"/>
          <w:lang w:eastAsia="zh-CN"/>
        </w:rPr>
      </w:pPr>
    </w:p>
    <w:p w14:paraId="37A5F09E">
      <w:pPr>
        <w:pStyle w:val="42"/>
        <w:spacing w:before="240" w:after="240"/>
        <w:ind w:firstLine="600"/>
        <w:rPr>
          <w:rFonts w:hint="eastAsia" w:ascii="宋体" w:eastAsia="宋体"/>
          <w:color w:val="auto"/>
          <w:highlight w:val="none"/>
          <w:lang w:eastAsia="zh-CN"/>
        </w:rPr>
      </w:pPr>
    </w:p>
    <w:p w14:paraId="342F9198">
      <w:pPr>
        <w:pStyle w:val="42"/>
        <w:spacing w:before="240" w:after="240"/>
        <w:ind w:firstLine="600"/>
        <w:rPr>
          <w:rFonts w:hint="eastAsia" w:ascii="宋体" w:eastAsia="宋体"/>
          <w:color w:val="auto"/>
          <w:highlight w:val="none"/>
          <w:lang w:eastAsia="zh-CN"/>
        </w:rPr>
      </w:pPr>
    </w:p>
    <w:p w14:paraId="27B26883">
      <w:pPr>
        <w:pStyle w:val="42"/>
        <w:spacing w:before="240" w:after="240"/>
        <w:ind w:firstLine="600"/>
        <w:rPr>
          <w:rFonts w:hint="eastAsia" w:ascii="宋体" w:eastAsia="宋体"/>
          <w:color w:val="auto"/>
          <w:highlight w:val="none"/>
          <w:lang w:eastAsia="zh-CN"/>
        </w:rPr>
      </w:pPr>
    </w:p>
    <w:p w14:paraId="7A0BC15D">
      <w:pPr>
        <w:pStyle w:val="42"/>
        <w:spacing w:before="240" w:after="240"/>
        <w:ind w:firstLine="600"/>
        <w:rPr>
          <w:rFonts w:hint="eastAsia" w:ascii="宋体" w:eastAsia="宋体"/>
          <w:color w:val="auto"/>
          <w:highlight w:val="none"/>
          <w:lang w:eastAsia="zh-CN"/>
        </w:rPr>
      </w:pPr>
    </w:p>
    <w:p w14:paraId="70304B13">
      <w:pPr>
        <w:pStyle w:val="42"/>
        <w:spacing w:before="240" w:after="240"/>
        <w:ind w:firstLine="600"/>
        <w:rPr>
          <w:rFonts w:hint="eastAsia" w:ascii="宋体" w:eastAsia="宋体"/>
          <w:color w:val="auto"/>
          <w:highlight w:val="none"/>
          <w:lang w:eastAsia="zh-CN"/>
        </w:rPr>
      </w:pPr>
    </w:p>
    <w:p w14:paraId="74104C76">
      <w:pPr>
        <w:pStyle w:val="42"/>
        <w:spacing w:before="240" w:after="240"/>
        <w:ind w:firstLine="600"/>
        <w:rPr>
          <w:rFonts w:hint="eastAsia" w:ascii="宋体" w:eastAsia="宋体"/>
          <w:color w:val="auto"/>
          <w:highlight w:val="none"/>
          <w:lang w:eastAsia="zh-CN"/>
        </w:rPr>
      </w:pPr>
    </w:p>
    <w:p w14:paraId="175D7EFB">
      <w:pPr>
        <w:pStyle w:val="42"/>
        <w:spacing w:before="240" w:after="240"/>
        <w:ind w:firstLine="600"/>
        <w:rPr>
          <w:rFonts w:hint="eastAsia" w:ascii="宋体" w:eastAsia="宋体"/>
          <w:color w:val="auto"/>
          <w:highlight w:val="none"/>
          <w:lang w:eastAsia="zh-CN"/>
        </w:rPr>
      </w:pPr>
    </w:p>
    <w:p w14:paraId="584D2F5E">
      <w:pPr>
        <w:pStyle w:val="42"/>
        <w:spacing w:before="240" w:after="240"/>
        <w:ind w:firstLine="600"/>
        <w:rPr>
          <w:rFonts w:hint="eastAsia" w:ascii="宋体" w:eastAsia="宋体"/>
          <w:color w:val="auto"/>
          <w:highlight w:val="none"/>
          <w:lang w:eastAsia="zh-CN"/>
        </w:rPr>
      </w:pPr>
    </w:p>
    <w:p w14:paraId="795B50F5">
      <w:pPr>
        <w:pStyle w:val="42"/>
        <w:spacing w:before="240" w:after="240"/>
        <w:ind w:firstLine="600"/>
        <w:rPr>
          <w:rFonts w:hint="eastAsia" w:ascii="宋体" w:eastAsia="宋体"/>
          <w:color w:val="auto"/>
          <w:highlight w:val="none"/>
          <w:lang w:eastAsia="zh-CN"/>
        </w:rPr>
      </w:pPr>
    </w:p>
    <w:p w14:paraId="4E114BBD">
      <w:pPr>
        <w:pStyle w:val="42"/>
        <w:spacing w:before="240" w:after="240"/>
        <w:ind w:firstLine="600"/>
        <w:rPr>
          <w:rFonts w:hint="eastAsia" w:ascii="宋体" w:eastAsia="宋体"/>
          <w:color w:val="auto"/>
          <w:highlight w:val="none"/>
          <w:lang w:eastAsia="zh-CN"/>
        </w:rPr>
      </w:pPr>
    </w:p>
    <w:p w14:paraId="20705111">
      <w:pPr>
        <w:pStyle w:val="42"/>
        <w:spacing w:before="240" w:after="240"/>
        <w:ind w:firstLine="600"/>
        <w:rPr>
          <w:rFonts w:hint="eastAsia" w:ascii="宋体" w:eastAsia="宋体"/>
          <w:color w:val="auto"/>
          <w:highlight w:val="none"/>
          <w:lang w:eastAsia="zh-CN"/>
        </w:rPr>
      </w:pPr>
    </w:p>
    <w:p w14:paraId="7F69DDBE">
      <w:pPr>
        <w:pStyle w:val="42"/>
        <w:spacing w:before="240" w:after="240"/>
        <w:ind w:firstLine="600"/>
        <w:rPr>
          <w:rFonts w:hint="eastAsia" w:ascii="宋体" w:eastAsia="宋体"/>
          <w:color w:val="auto"/>
          <w:highlight w:val="none"/>
          <w:lang w:eastAsia="zh-CN"/>
        </w:rPr>
      </w:pPr>
    </w:p>
    <w:p w14:paraId="50045E9C">
      <w:pPr>
        <w:pStyle w:val="42"/>
        <w:spacing w:before="240" w:after="240"/>
        <w:ind w:firstLine="600"/>
        <w:rPr>
          <w:rFonts w:hint="eastAsia" w:ascii="宋体" w:eastAsia="宋体"/>
          <w:color w:val="auto"/>
          <w:highlight w:val="none"/>
          <w:lang w:eastAsia="zh-CN"/>
        </w:rPr>
      </w:pPr>
    </w:p>
    <w:p w14:paraId="38084E59">
      <w:pPr>
        <w:widowControl/>
        <w:spacing w:before="240" w:after="240"/>
        <w:outlineLvl w:val="1"/>
        <w:rPr>
          <w:rFonts w:hint="eastAsia"/>
          <w:b/>
          <w:color w:val="auto"/>
          <w:sz w:val="32"/>
          <w:szCs w:val="24"/>
          <w:highlight w:val="none"/>
          <w:lang w:eastAsia="zh-CN"/>
        </w:rPr>
      </w:pPr>
      <w:bookmarkStart w:id="150" w:name="_Toc10845"/>
      <w:r>
        <w:rPr>
          <w:rFonts w:hint="eastAsia"/>
          <w:b/>
          <w:color w:val="auto"/>
          <w:sz w:val="32"/>
          <w:szCs w:val="24"/>
          <w:highlight w:val="none"/>
          <w:lang w:eastAsia="zh-CN"/>
        </w:rPr>
        <w:t>投标文件封</w:t>
      </w:r>
      <w:r>
        <w:rPr>
          <w:rFonts w:hint="eastAsia"/>
          <w:b/>
          <w:color w:val="auto"/>
          <w:sz w:val="32"/>
          <w:szCs w:val="24"/>
          <w:highlight w:val="none"/>
          <w:lang w:val="en-US" w:eastAsia="zh-CN"/>
        </w:rPr>
        <w:t>袋</w:t>
      </w:r>
      <w:r>
        <w:rPr>
          <w:rFonts w:hint="eastAsia"/>
          <w:b/>
          <w:color w:val="auto"/>
          <w:sz w:val="32"/>
          <w:szCs w:val="24"/>
          <w:highlight w:val="none"/>
          <w:lang w:eastAsia="zh-CN"/>
        </w:rPr>
        <w:t>式样：（</w:t>
      </w:r>
      <w:r>
        <w:rPr>
          <w:rFonts w:hint="eastAsia"/>
          <w:b/>
          <w:color w:val="auto"/>
          <w:sz w:val="32"/>
          <w:szCs w:val="24"/>
          <w:highlight w:val="none"/>
          <w:lang w:val="en-US" w:eastAsia="zh-CN"/>
        </w:rPr>
        <w:t>投标时自行删除此行文字</w:t>
      </w:r>
      <w:r>
        <w:rPr>
          <w:rFonts w:hint="eastAsia"/>
          <w:b/>
          <w:color w:val="auto"/>
          <w:sz w:val="32"/>
          <w:szCs w:val="24"/>
          <w:highlight w:val="none"/>
          <w:lang w:eastAsia="zh-CN"/>
        </w:rPr>
        <w:t>）</w:t>
      </w:r>
      <w:bookmarkEnd w:id="150"/>
      <w:r>
        <w:rPr>
          <w:rFonts w:hint="eastAsia"/>
          <w:b/>
          <w:color w:val="auto"/>
          <w:sz w:val="32"/>
          <w:szCs w:val="24"/>
          <w:highlight w:val="none"/>
          <w:lang w:eastAsia="zh-CN"/>
        </w:rPr>
        <w:t xml:space="preserve"> </w:t>
      </w:r>
    </w:p>
    <w:p w14:paraId="16C26CB2">
      <w:pPr>
        <w:spacing w:before="240" w:after="240" w:line="360" w:lineRule="auto"/>
        <w:jc w:val="right"/>
        <w:rPr>
          <w:rFonts w:hint="eastAsia"/>
          <w:b/>
          <w:bCs/>
          <w:color w:val="auto"/>
          <w:sz w:val="48"/>
          <w:szCs w:val="48"/>
          <w:highlight w:val="none"/>
          <w:lang w:eastAsia="zh-CN"/>
        </w:rPr>
      </w:pPr>
    </w:p>
    <w:p w14:paraId="562BE3B7">
      <w:pPr>
        <w:spacing w:before="240" w:after="240" w:line="360" w:lineRule="auto"/>
        <w:ind w:right="-387" w:rightChars="-176"/>
        <w:jc w:val="center"/>
        <w:rPr>
          <w:rFonts w:hint="eastAsia"/>
          <w:b/>
          <w:bCs/>
          <w:color w:val="auto"/>
          <w:sz w:val="36"/>
          <w:szCs w:val="36"/>
          <w:highlight w:val="none"/>
          <w:lang w:eastAsia="zh-CN"/>
        </w:rPr>
      </w:pPr>
      <w:r>
        <w:rPr>
          <w:rFonts w:hint="eastAsia"/>
          <w:b/>
          <w:bCs/>
          <w:color w:val="auto"/>
          <w:sz w:val="36"/>
          <w:szCs w:val="36"/>
          <w:highlight w:val="none"/>
          <w:lang w:eastAsia="zh-CN"/>
        </w:rPr>
        <w:t>盐城东方投资开发集团有限公司持有江苏星月测绘科技股份有限公司股权价值评估项目</w:t>
      </w:r>
    </w:p>
    <w:p w14:paraId="21B0832E">
      <w:pPr>
        <w:spacing w:before="240" w:after="240" w:line="520" w:lineRule="atLeast"/>
        <w:jc w:val="both"/>
        <w:rPr>
          <w:rFonts w:hint="eastAsia"/>
          <w:b/>
          <w:bCs/>
          <w:color w:val="auto"/>
          <w:sz w:val="44"/>
          <w:szCs w:val="44"/>
          <w:highlight w:val="none"/>
          <w:lang w:eastAsia="zh-CN"/>
        </w:rPr>
      </w:pPr>
    </w:p>
    <w:p w14:paraId="061D6B7D">
      <w:pPr>
        <w:spacing w:before="240" w:after="240" w:line="520" w:lineRule="atLeast"/>
        <w:rPr>
          <w:rFonts w:hint="eastAsia"/>
          <w:color w:val="auto"/>
          <w:sz w:val="48"/>
          <w:szCs w:val="24"/>
          <w:highlight w:val="none"/>
          <w:lang w:eastAsia="zh-CN"/>
        </w:rPr>
      </w:pPr>
    </w:p>
    <w:p w14:paraId="617D2402">
      <w:pPr>
        <w:spacing w:before="240" w:after="240" w:line="520" w:lineRule="atLeast"/>
        <w:jc w:val="center"/>
        <w:rPr>
          <w:rFonts w:hint="eastAsia"/>
          <w:b/>
          <w:bCs/>
          <w:color w:val="auto"/>
          <w:sz w:val="72"/>
          <w:szCs w:val="84"/>
          <w:highlight w:val="none"/>
          <w:lang w:eastAsia="zh-CN"/>
        </w:rPr>
      </w:pPr>
      <w:r>
        <w:rPr>
          <w:rFonts w:hint="eastAsia"/>
          <w:b/>
          <w:bCs/>
          <w:color w:val="auto"/>
          <w:sz w:val="72"/>
          <w:szCs w:val="84"/>
          <w:highlight w:val="none"/>
          <w:lang w:eastAsia="zh-CN"/>
        </w:rPr>
        <w:t>投 标 文 件</w:t>
      </w:r>
    </w:p>
    <w:p w14:paraId="01A9918D">
      <w:pPr>
        <w:autoSpaceDE w:val="0"/>
        <w:autoSpaceDN w:val="0"/>
        <w:adjustRightInd w:val="0"/>
        <w:spacing w:before="240" w:after="240"/>
        <w:rPr>
          <w:rFonts w:hint="eastAsia"/>
          <w:color w:val="auto"/>
          <w:sz w:val="24"/>
          <w:szCs w:val="24"/>
          <w:highlight w:val="none"/>
          <w:lang w:eastAsia="zh-CN"/>
        </w:rPr>
      </w:pPr>
    </w:p>
    <w:p w14:paraId="5F29AAF9">
      <w:pPr>
        <w:spacing w:before="240" w:after="240" w:line="520" w:lineRule="atLeast"/>
        <w:jc w:val="center"/>
        <w:rPr>
          <w:rFonts w:hint="eastAsia"/>
          <w:b/>
          <w:bCs/>
          <w:color w:val="auto"/>
          <w:sz w:val="36"/>
          <w:szCs w:val="24"/>
          <w:highlight w:val="none"/>
          <w:lang w:eastAsia="zh-CN"/>
        </w:rPr>
      </w:pPr>
    </w:p>
    <w:p w14:paraId="4F0E2C00">
      <w:pPr>
        <w:spacing w:before="240" w:after="240" w:line="520" w:lineRule="atLeast"/>
        <w:rPr>
          <w:rFonts w:hint="eastAsia"/>
          <w:color w:val="auto"/>
          <w:sz w:val="28"/>
          <w:szCs w:val="24"/>
          <w:highlight w:val="none"/>
          <w:lang w:eastAsia="zh-CN"/>
        </w:rPr>
      </w:pPr>
    </w:p>
    <w:p w14:paraId="39F9E456">
      <w:pPr>
        <w:autoSpaceDE w:val="0"/>
        <w:autoSpaceDN w:val="0"/>
        <w:adjustRightInd w:val="0"/>
        <w:spacing w:before="240" w:after="240"/>
        <w:rPr>
          <w:rFonts w:hint="eastAsia"/>
          <w:color w:val="auto"/>
          <w:sz w:val="24"/>
          <w:szCs w:val="24"/>
          <w:highlight w:val="none"/>
          <w:lang w:eastAsia="zh-CN"/>
        </w:rPr>
      </w:pPr>
    </w:p>
    <w:p w14:paraId="526EF264">
      <w:pPr>
        <w:tabs>
          <w:tab w:val="left" w:pos="7140"/>
        </w:tabs>
        <w:spacing w:before="240" w:after="240" w:line="600" w:lineRule="exact"/>
        <w:ind w:firstLine="629"/>
        <w:rPr>
          <w:rFonts w:hint="eastAsia"/>
          <w:b/>
          <w:color w:val="auto"/>
          <w:sz w:val="32"/>
          <w:szCs w:val="24"/>
          <w:highlight w:val="none"/>
          <w:lang w:eastAsia="zh-CN"/>
        </w:rPr>
      </w:pPr>
      <w:r>
        <w:rPr>
          <w:rFonts w:hint="eastAsia"/>
          <w:b/>
          <w:color w:val="auto"/>
          <w:sz w:val="32"/>
          <w:szCs w:val="24"/>
          <w:highlight w:val="none"/>
          <w:lang w:eastAsia="zh-CN"/>
        </w:rPr>
        <w:t xml:space="preserve">投 标 人（盖章）：        </w:t>
      </w:r>
    </w:p>
    <w:p w14:paraId="0DAD24B0">
      <w:pPr>
        <w:rPr>
          <w:rFonts w:hint="eastAsia"/>
          <w:color w:val="auto"/>
          <w:highlight w:val="none"/>
          <w:lang w:eastAsia="zh-CN"/>
        </w:rPr>
      </w:pPr>
    </w:p>
    <w:p w14:paraId="56BCD59E">
      <w:pPr>
        <w:rPr>
          <w:rFonts w:hint="eastAsia"/>
          <w:color w:val="auto"/>
          <w:highlight w:val="none"/>
          <w:lang w:eastAsia="zh-CN"/>
        </w:rPr>
      </w:pPr>
    </w:p>
    <w:p w14:paraId="4BFF79B5">
      <w:pPr>
        <w:tabs>
          <w:tab w:val="left" w:pos="1995"/>
        </w:tabs>
        <w:spacing w:before="240" w:after="240" w:line="600" w:lineRule="exact"/>
        <w:ind w:firstLine="629"/>
        <w:rPr>
          <w:rFonts w:hint="eastAsia"/>
          <w:color w:val="auto"/>
          <w:sz w:val="20"/>
          <w:szCs w:val="24"/>
          <w:highlight w:val="none"/>
        </w:rPr>
      </w:pPr>
      <w:r>
        <w:rPr>
          <w:rFonts w:hint="eastAsia"/>
          <w:b/>
          <w:color w:val="auto"/>
          <w:sz w:val="32"/>
          <w:szCs w:val="24"/>
          <w:highlight w:val="none"/>
        </w:rPr>
        <w:t>日    期：        年     月     日</w:t>
      </w:r>
    </w:p>
    <w:p w14:paraId="119F0886">
      <w:pPr>
        <w:keepNext w:val="0"/>
        <w:keepLines w:val="0"/>
        <w:pageBreakBefore/>
        <w:widowControl/>
        <w:kinsoku/>
        <w:wordWrap/>
        <w:overflowPunct/>
        <w:topLinePunct w:val="0"/>
        <w:autoSpaceDE/>
        <w:autoSpaceDN/>
        <w:bidi w:val="0"/>
        <w:adjustRightInd/>
        <w:snapToGrid/>
        <w:spacing w:before="240" w:after="240"/>
        <w:textAlignment w:val="auto"/>
        <w:outlineLvl w:val="1"/>
        <w:rPr>
          <w:rFonts w:hint="eastAsia"/>
          <w:b/>
          <w:color w:val="auto"/>
          <w:sz w:val="32"/>
          <w:szCs w:val="24"/>
          <w:highlight w:val="none"/>
          <w:lang w:eastAsia="zh-CN"/>
        </w:rPr>
      </w:pPr>
      <w:bookmarkStart w:id="151" w:name="_Toc15344"/>
      <w:r>
        <w:rPr>
          <w:rFonts w:hint="eastAsia"/>
          <w:b/>
          <w:color w:val="auto"/>
          <w:sz w:val="32"/>
          <w:szCs w:val="24"/>
          <w:highlight w:val="none"/>
          <w:lang w:eastAsia="zh-CN"/>
        </w:rPr>
        <w:t>投标文件封面式样：（</w:t>
      </w:r>
      <w:r>
        <w:rPr>
          <w:rFonts w:hint="eastAsia"/>
          <w:b/>
          <w:color w:val="auto"/>
          <w:sz w:val="32"/>
          <w:szCs w:val="24"/>
          <w:highlight w:val="none"/>
          <w:lang w:val="en-US" w:eastAsia="zh-CN"/>
        </w:rPr>
        <w:t>投标时自行删除此行文字</w:t>
      </w:r>
      <w:r>
        <w:rPr>
          <w:rFonts w:hint="eastAsia"/>
          <w:b/>
          <w:color w:val="auto"/>
          <w:sz w:val="32"/>
          <w:szCs w:val="24"/>
          <w:highlight w:val="none"/>
          <w:lang w:eastAsia="zh-CN"/>
        </w:rPr>
        <w:t>）</w:t>
      </w:r>
      <w:bookmarkEnd w:id="151"/>
      <w:r>
        <w:rPr>
          <w:rFonts w:hint="eastAsia"/>
          <w:b/>
          <w:color w:val="auto"/>
          <w:sz w:val="32"/>
          <w:szCs w:val="24"/>
          <w:highlight w:val="none"/>
          <w:lang w:eastAsia="zh-CN"/>
        </w:rPr>
        <w:t xml:space="preserve"> </w:t>
      </w:r>
    </w:p>
    <w:p w14:paraId="30734761">
      <w:pPr>
        <w:spacing w:before="240" w:after="240" w:line="360" w:lineRule="auto"/>
        <w:jc w:val="right"/>
        <w:rPr>
          <w:rFonts w:hint="eastAsia"/>
          <w:b/>
          <w:bCs/>
          <w:color w:val="auto"/>
          <w:sz w:val="48"/>
          <w:szCs w:val="48"/>
          <w:highlight w:val="none"/>
          <w:lang w:eastAsia="zh-CN"/>
        </w:rPr>
      </w:pPr>
      <w:r>
        <w:rPr>
          <w:rFonts w:hint="eastAsia"/>
          <w:b/>
          <w:bCs/>
          <w:color w:val="auto"/>
          <w:sz w:val="48"/>
          <w:szCs w:val="48"/>
          <w:highlight w:val="none"/>
          <w:u w:val="single"/>
          <w:lang w:eastAsia="zh-CN"/>
        </w:rPr>
        <w:t>正/副</w:t>
      </w:r>
      <w:r>
        <w:rPr>
          <w:rFonts w:hint="eastAsia"/>
          <w:b/>
          <w:bCs/>
          <w:color w:val="auto"/>
          <w:sz w:val="48"/>
          <w:szCs w:val="48"/>
          <w:highlight w:val="none"/>
          <w:lang w:eastAsia="zh-CN"/>
        </w:rPr>
        <w:t>本</w:t>
      </w:r>
    </w:p>
    <w:p w14:paraId="39E55122">
      <w:pPr>
        <w:spacing w:before="240" w:after="240" w:line="360" w:lineRule="auto"/>
        <w:jc w:val="right"/>
        <w:rPr>
          <w:rFonts w:hint="eastAsia"/>
          <w:b/>
          <w:bCs/>
          <w:color w:val="auto"/>
          <w:sz w:val="48"/>
          <w:szCs w:val="48"/>
          <w:highlight w:val="none"/>
          <w:lang w:eastAsia="zh-CN"/>
        </w:rPr>
      </w:pPr>
    </w:p>
    <w:p w14:paraId="557B4423">
      <w:pPr>
        <w:spacing w:before="240" w:after="240" w:line="360" w:lineRule="auto"/>
        <w:ind w:right="-387" w:rightChars="-176"/>
        <w:jc w:val="center"/>
        <w:rPr>
          <w:rFonts w:hint="eastAsia"/>
          <w:b/>
          <w:bCs/>
          <w:color w:val="auto"/>
          <w:sz w:val="36"/>
          <w:szCs w:val="36"/>
          <w:highlight w:val="none"/>
          <w:lang w:eastAsia="zh-CN"/>
        </w:rPr>
      </w:pPr>
      <w:r>
        <w:rPr>
          <w:rFonts w:hint="eastAsia"/>
          <w:b/>
          <w:bCs/>
          <w:color w:val="auto"/>
          <w:sz w:val="36"/>
          <w:szCs w:val="36"/>
          <w:highlight w:val="none"/>
          <w:lang w:eastAsia="zh-CN"/>
        </w:rPr>
        <w:t>盐城东方投资开发集团有限公司持有江苏星月测绘科技股份有限公司股权价值评估项目</w:t>
      </w:r>
    </w:p>
    <w:p w14:paraId="36F1BECB">
      <w:pPr>
        <w:spacing w:before="240" w:after="240" w:line="520" w:lineRule="atLeast"/>
        <w:jc w:val="both"/>
        <w:rPr>
          <w:rFonts w:hint="eastAsia"/>
          <w:b/>
          <w:bCs/>
          <w:color w:val="auto"/>
          <w:sz w:val="44"/>
          <w:szCs w:val="44"/>
          <w:highlight w:val="none"/>
          <w:lang w:eastAsia="zh-CN"/>
        </w:rPr>
      </w:pPr>
    </w:p>
    <w:p w14:paraId="40411FCA">
      <w:pPr>
        <w:spacing w:before="240" w:after="240" w:line="520" w:lineRule="atLeast"/>
        <w:rPr>
          <w:rFonts w:hint="eastAsia"/>
          <w:color w:val="auto"/>
          <w:sz w:val="48"/>
          <w:szCs w:val="24"/>
          <w:highlight w:val="none"/>
          <w:lang w:eastAsia="zh-CN"/>
        </w:rPr>
      </w:pPr>
    </w:p>
    <w:p w14:paraId="3E795C7C">
      <w:pPr>
        <w:spacing w:before="240" w:after="240" w:line="520" w:lineRule="atLeast"/>
        <w:jc w:val="center"/>
        <w:rPr>
          <w:rFonts w:hint="eastAsia"/>
          <w:b/>
          <w:bCs/>
          <w:color w:val="auto"/>
          <w:sz w:val="72"/>
          <w:szCs w:val="84"/>
          <w:highlight w:val="none"/>
          <w:lang w:eastAsia="zh-CN"/>
        </w:rPr>
      </w:pPr>
      <w:r>
        <w:rPr>
          <w:rFonts w:hint="eastAsia"/>
          <w:b/>
          <w:bCs/>
          <w:color w:val="auto"/>
          <w:sz w:val="72"/>
          <w:szCs w:val="84"/>
          <w:highlight w:val="none"/>
          <w:lang w:eastAsia="zh-CN"/>
        </w:rPr>
        <w:t>投 标 文 件</w:t>
      </w:r>
    </w:p>
    <w:p w14:paraId="2D8CF4B2">
      <w:pPr>
        <w:autoSpaceDE w:val="0"/>
        <w:autoSpaceDN w:val="0"/>
        <w:adjustRightInd w:val="0"/>
        <w:spacing w:before="240" w:after="240"/>
        <w:rPr>
          <w:rFonts w:hint="eastAsia"/>
          <w:color w:val="auto"/>
          <w:sz w:val="24"/>
          <w:szCs w:val="24"/>
          <w:highlight w:val="none"/>
          <w:lang w:eastAsia="zh-CN"/>
        </w:rPr>
      </w:pPr>
    </w:p>
    <w:p w14:paraId="4410157B">
      <w:pPr>
        <w:spacing w:before="240" w:after="240" w:line="520" w:lineRule="atLeast"/>
        <w:jc w:val="center"/>
        <w:rPr>
          <w:rFonts w:hint="eastAsia"/>
          <w:b/>
          <w:bCs/>
          <w:color w:val="auto"/>
          <w:sz w:val="36"/>
          <w:szCs w:val="24"/>
          <w:highlight w:val="none"/>
          <w:lang w:eastAsia="zh-CN"/>
        </w:rPr>
      </w:pPr>
    </w:p>
    <w:p w14:paraId="6D1B1A64">
      <w:pPr>
        <w:spacing w:before="240" w:after="240" w:line="520" w:lineRule="atLeast"/>
        <w:rPr>
          <w:rFonts w:hint="eastAsia"/>
          <w:color w:val="auto"/>
          <w:sz w:val="28"/>
          <w:szCs w:val="24"/>
          <w:highlight w:val="none"/>
          <w:lang w:eastAsia="zh-CN"/>
        </w:rPr>
      </w:pPr>
    </w:p>
    <w:p w14:paraId="53FF34C2">
      <w:pPr>
        <w:autoSpaceDE w:val="0"/>
        <w:autoSpaceDN w:val="0"/>
        <w:adjustRightInd w:val="0"/>
        <w:spacing w:before="240" w:after="240"/>
        <w:rPr>
          <w:rFonts w:hint="eastAsia"/>
          <w:color w:val="auto"/>
          <w:sz w:val="24"/>
          <w:szCs w:val="24"/>
          <w:highlight w:val="none"/>
          <w:lang w:eastAsia="zh-CN"/>
        </w:rPr>
      </w:pPr>
    </w:p>
    <w:p w14:paraId="0B31CDB8">
      <w:pPr>
        <w:tabs>
          <w:tab w:val="left" w:pos="7140"/>
        </w:tabs>
        <w:spacing w:before="240" w:after="240" w:line="600" w:lineRule="exact"/>
        <w:ind w:firstLine="629"/>
        <w:rPr>
          <w:rFonts w:hint="eastAsia"/>
          <w:b/>
          <w:color w:val="auto"/>
          <w:sz w:val="32"/>
          <w:szCs w:val="24"/>
          <w:highlight w:val="none"/>
          <w:lang w:eastAsia="zh-CN"/>
        </w:rPr>
      </w:pPr>
      <w:r>
        <w:rPr>
          <w:rFonts w:hint="eastAsia"/>
          <w:b/>
          <w:color w:val="auto"/>
          <w:sz w:val="32"/>
          <w:szCs w:val="24"/>
          <w:highlight w:val="none"/>
          <w:lang w:eastAsia="zh-CN"/>
        </w:rPr>
        <w:t xml:space="preserve">投 标 人（盖章）：        </w:t>
      </w:r>
    </w:p>
    <w:p w14:paraId="0941C4CE">
      <w:pPr>
        <w:rPr>
          <w:rFonts w:hint="eastAsia"/>
          <w:color w:val="auto"/>
          <w:highlight w:val="none"/>
          <w:lang w:eastAsia="zh-CN"/>
        </w:rPr>
      </w:pPr>
    </w:p>
    <w:p w14:paraId="7309CB5B">
      <w:pPr>
        <w:rPr>
          <w:rFonts w:hint="eastAsia"/>
          <w:color w:val="auto"/>
          <w:highlight w:val="none"/>
          <w:lang w:eastAsia="zh-CN"/>
        </w:rPr>
      </w:pPr>
    </w:p>
    <w:p w14:paraId="5281C627">
      <w:pPr>
        <w:tabs>
          <w:tab w:val="left" w:pos="1995"/>
        </w:tabs>
        <w:spacing w:before="240" w:after="240" w:line="600" w:lineRule="exact"/>
        <w:ind w:firstLine="629"/>
        <w:rPr>
          <w:rFonts w:hint="eastAsia"/>
          <w:b/>
          <w:color w:val="auto"/>
          <w:sz w:val="32"/>
          <w:szCs w:val="24"/>
          <w:highlight w:val="none"/>
        </w:rPr>
      </w:pPr>
      <w:r>
        <w:rPr>
          <w:rFonts w:hint="eastAsia"/>
          <w:b/>
          <w:color w:val="auto"/>
          <w:sz w:val="32"/>
          <w:szCs w:val="24"/>
          <w:highlight w:val="none"/>
        </w:rPr>
        <w:t>日    期：        年     月     日</w:t>
      </w:r>
    </w:p>
    <w:p w14:paraId="0E224588">
      <w:pPr>
        <w:tabs>
          <w:tab w:val="left" w:pos="1995"/>
        </w:tabs>
        <w:spacing w:before="240" w:after="240" w:line="600" w:lineRule="exact"/>
        <w:ind w:firstLine="629"/>
        <w:rPr>
          <w:rFonts w:hint="eastAsia"/>
          <w:b/>
          <w:color w:val="auto"/>
          <w:sz w:val="32"/>
          <w:szCs w:val="24"/>
          <w:highlight w:val="none"/>
        </w:rPr>
      </w:pPr>
    </w:p>
    <w:p w14:paraId="67D434E6">
      <w:pPr>
        <w:rPr>
          <w:rFonts w:hint="eastAsia"/>
          <w:color w:val="auto"/>
          <w:highlight w:val="none"/>
          <w:lang w:val="en-US" w:eastAsia="zh-CN"/>
        </w:rPr>
      </w:pPr>
    </w:p>
    <w:p w14:paraId="2DDE077A">
      <w:pPr>
        <w:widowControl/>
        <w:numPr>
          <w:ilvl w:val="0"/>
          <w:numId w:val="2"/>
        </w:numPr>
        <w:spacing w:before="240" w:after="240"/>
        <w:outlineLvl w:val="1"/>
        <w:rPr>
          <w:rFonts w:hint="eastAsia"/>
          <w:b/>
          <w:color w:val="auto"/>
          <w:sz w:val="32"/>
          <w:szCs w:val="24"/>
          <w:highlight w:val="none"/>
          <w:lang w:eastAsia="zh-CN"/>
        </w:rPr>
      </w:pPr>
      <w:bookmarkStart w:id="152" w:name="_Toc16931"/>
      <w:r>
        <w:rPr>
          <w:rFonts w:hint="eastAsia"/>
          <w:b/>
          <w:color w:val="auto"/>
          <w:sz w:val="32"/>
          <w:szCs w:val="24"/>
          <w:highlight w:val="none"/>
          <w:lang w:eastAsia="zh-CN"/>
        </w:rPr>
        <w:t>法定代表人</w:t>
      </w:r>
      <w:r>
        <w:rPr>
          <w:rFonts w:hint="eastAsia"/>
          <w:b/>
          <w:color w:val="auto"/>
          <w:sz w:val="32"/>
          <w:szCs w:val="24"/>
          <w:highlight w:val="none"/>
          <w:lang w:val="en-US" w:eastAsia="zh-CN"/>
        </w:rPr>
        <w:t>/</w:t>
      </w:r>
      <w:r>
        <w:rPr>
          <w:rFonts w:hint="eastAsia"/>
          <w:b/>
          <w:color w:val="auto"/>
          <w:sz w:val="32"/>
          <w:szCs w:val="24"/>
          <w:highlight w:val="none"/>
          <w:lang w:eastAsia="zh-CN"/>
        </w:rPr>
        <w:t>执行事务合伙人</w:t>
      </w:r>
      <w:r>
        <w:rPr>
          <w:rFonts w:hint="eastAsia"/>
          <w:b/>
          <w:color w:val="auto"/>
          <w:sz w:val="32"/>
          <w:szCs w:val="24"/>
          <w:highlight w:val="none"/>
          <w:lang w:eastAsia="zh-CN"/>
        </w:rPr>
        <w:t>身份证明</w:t>
      </w:r>
      <w:bookmarkEnd w:id="152"/>
    </w:p>
    <w:p w14:paraId="3E2C0B5E">
      <w:pPr>
        <w:keepNext w:val="0"/>
        <w:keepLines w:val="0"/>
        <w:pageBreakBefore w:val="0"/>
        <w:widowControl/>
        <w:numPr>
          <w:ilvl w:val="0"/>
          <w:numId w:val="0"/>
        </w:numPr>
        <w:kinsoku/>
        <w:wordWrap/>
        <w:overflowPunct/>
        <w:topLinePunct w:val="0"/>
        <w:autoSpaceDE/>
        <w:autoSpaceDN/>
        <w:bidi w:val="0"/>
        <w:adjustRightInd/>
        <w:snapToGrid/>
        <w:spacing w:before="240" w:after="240"/>
        <w:textAlignment w:val="auto"/>
        <w:outlineLvl w:val="9"/>
        <w:rPr>
          <w:rFonts w:hint="eastAsia"/>
          <w:b/>
          <w:color w:val="auto"/>
          <w:sz w:val="32"/>
          <w:szCs w:val="24"/>
          <w:highlight w:val="none"/>
          <w:lang w:eastAsia="zh-CN"/>
        </w:rPr>
      </w:pPr>
      <w:r>
        <w:rPr>
          <w:rFonts w:hint="eastAsia"/>
          <w:b/>
          <w:color w:val="auto"/>
          <w:sz w:val="32"/>
          <w:szCs w:val="24"/>
          <w:highlight w:val="none"/>
          <w:lang w:eastAsia="zh-CN"/>
        </w:rPr>
        <w:t>（</w:t>
      </w:r>
      <w:r>
        <w:rPr>
          <w:rFonts w:hint="eastAsia"/>
          <w:b/>
          <w:color w:val="auto"/>
          <w:sz w:val="32"/>
          <w:szCs w:val="24"/>
          <w:highlight w:val="none"/>
          <w:lang w:val="en-US" w:eastAsia="zh-CN"/>
        </w:rPr>
        <w:t>投标人根据本单位的性质提供</w:t>
      </w:r>
      <w:r>
        <w:rPr>
          <w:rFonts w:hint="eastAsia"/>
          <w:b/>
          <w:color w:val="auto"/>
          <w:sz w:val="32"/>
          <w:szCs w:val="24"/>
          <w:highlight w:val="none"/>
          <w:lang w:eastAsia="zh-CN"/>
        </w:rPr>
        <w:t>法定代表人身份证明</w:t>
      </w:r>
      <w:r>
        <w:rPr>
          <w:rFonts w:hint="eastAsia"/>
          <w:b/>
          <w:color w:val="auto"/>
          <w:sz w:val="32"/>
          <w:szCs w:val="24"/>
          <w:highlight w:val="none"/>
          <w:lang w:val="en-US" w:eastAsia="zh-CN"/>
        </w:rPr>
        <w:t>或</w:t>
      </w:r>
      <w:r>
        <w:rPr>
          <w:rFonts w:hint="eastAsia"/>
          <w:b/>
          <w:color w:val="auto"/>
          <w:sz w:val="32"/>
          <w:szCs w:val="24"/>
          <w:highlight w:val="none"/>
          <w:lang w:eastAsia="zh-CN"/>
        </w:rPr>
        <w:t>执行事务合伙人身份证明</w:t>
      </w:r>
      <w:r>
        <w:rPr>
          <w:rFonts w:hint="eastAsia"/>
          <w:b/>
          <w:color w:val="auto"/>
          <w:sz w:val="32"/>
          <w:szCs w:val="24"/>
          <w:highlight w:val="none"/>
          <w:lang w:val="en-US" w:eastAsia="zh-CN"/>
        </w:rPr>
        <w:t>）</w:t>
      </w:r>
    </w:p>
    <w:p w14:paraId="09348D93">
      <w:pPr>
        <w:widowControl/>
        <w:adjustRightInd w:val="0"/>
        <w:spacing w:before="240" w:after="240" w:line="360" w:lineRule="auto"/>
        <w:jc w:val="center"/>
        <w:rPr>
          <w:rFonts w:hint="eastAsia"/>
          <w:b/>
          <w:color w:val="auto"/>
          <w:kern w:val="2"/>
          <w:sz w:val="30"/>
          <w:szCs w:val="24"/>
          <w:highlight w:val="none"/>
          <w:lang w:eastAsia="zh-CN"/>
        </w:rPr>
      </w:pPr>
    </w:p>
    <w:p w14:paraId="6F3A3A51">
      <w:pPr>
        <w:widowControl/>
        <w:adjustRightInd w:val="0"/>
        <w:spacing w:before="240" w:after="240" w:line="360" w:lineRule="auto"/>
        <w:jc w:val="center"/>
        <w:rPr>
          <w:rFonts w:hint="eastAsia"/>
          <w:b/>
          <w:bCs/>
          <w:color w:val="auto"/>
          <w:sz w:val="44"/>
          <w:szCs w:val="44"/>
          <w:highlight w:val="none"/>
          <w:lang w:eastAsia="zh-CN"/>
        </w:rPr>
      </w:pPr>
      <w:r>
        <w:rPr>
          <w:rFonts w:hint="eastAsia"/>
          <w:b/>
          <w:color w:val="auto"/>
          <w:kern w:val="2"/>
          <w:sz w:val="30"/>
          <w:szCs w:val="24"/>
          <w:highlight w:val="none"/>
          <w:lang w:eastAsia="zh-CN"/>
        </w:rPr>
        <w:t>法定代表人身份证明</w:t>
      </w:r>
    </w:p>
    <w:p w14:paraId="0FFD91A0">
      <w:pPr>
        <w:autoSpaceDE w:val="0"/>
        <w:autoSpaceDN w:val="0"/>
        <w:adjustRightInd w:val="0"/>
        <w:spacing w:before="240" w:after="240" w:line="360" w:lineRule="auto"/>
        <w:ind w:firstLine="480" w:firstLineChars="200"/>
        <w:jc w:val="both"/>
        <w:rPr>
          <w:rFonts w:hint="eastAsia"/>
          <w:color w:val="auto"/>
          <w:kern w:val="2"/>
          <w:sz w:val="24"/>
          <w:szCs w:val="24"/>
          <w:highlight w:val="none"/>
          <w:lang w:eastAsia="zh-CN"/>
        </w:rPr>
      </w:pPr>
    </w:p>
    <w:p w14:paraId="289549D3">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投 标 人：</w:t>
      </w:r>
      <w:r>
        <w:rPr>
          <w:rFonts w:hint="eastAsia"/>
          <w:color w:val="auto"/>
          <w:kern w:val="2"/>
          <w:sz w:val="21"/>
          <w:szCs w:val="21"/>
          <w:highlight w:val="none"/>
          <w:u w:val="single"/>
          <w:lang w:eastAsia="zh-CN"/>
        </w:rPr>
        <w:t xml:space="preserve">                                              </w:t>
      </w:r>
    </w:p>
    <w:p w14:paraId="440B9823">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单位性质：</w:t>
      </w:r>
      <w:r>
        <w:rPr>
          <w:rFonts w:hint="eastAsia"/>
          <w:color w:val="auto"/>
          <w:kern w:val="2"/>
          <w:sz w:val="21"/>
          <w:szCs w:val="21"/>
          <w:highlight w:val="none"/>
          <w:u w:val="single"/>
          <w:lang w:eastAsia="zh-CN"/>
        </w:rPr>
        <w:t xml:space="preserve">                                          </w:t>
      </w:r>
    </w:p>
    <w:p w14:paraId="67CD999F">
      <w:pPr>
        <w:autoSpaceDE w:val="0"/>
        <w:autoSpaceDN w:val="0"/>
        <w:adjustRightInd w:val="0"/>
        <w:spacing w:before="240" w:after="240" w:line="360" w:lineRule="auto"/>
        <w:ind w:firstLine="420" w:firstLineChars="200"/>
        <w:jc w:val="both"/>
        <w:rPr>
          <w:rFonts w:hint="eastAsia"/>
          <w:color w:val="auto"/>
          <w:kern w:val="2"/>
          <w:sz w:val="21"/>
          <w:szCs w:val="21"/>
          <w:highlight w:val="none"/>
          <w:u w:val="single"/>
          <w:lang w:eastAsia="zh-CN"/>
        </w:rPr>
      </w:pPr>
      <w:r>
        <w:rPr>
          <w:rFonts w:hint="eastAsia"/>
          <w:color w:val="auto"/>
          <w:kern w:val="2"/>
          <w:sz w:val="21"/>
          <w:szCs w:val="21"/>
          <w:highlight w:val="none"/>
          <w:lang w:eastAsia="zh-CN"/>
        </w:rPr>
        <w:t>地    址：</w:t>
      </w:r>
      <w:r>
        <w:rPr>
          <w:rFonts w:hint="eastAsia"/>
          <w:color w:val="auto"/>
          <w:kern w:val="2"/>
          <w:sz w:val="21"/>
          <w:szCs w:val="21"/>
          <w:highlight w:val="none"/>
          <w:u w:val="single"/>
          <w:lang w:eastAsia="zh-CN"/>
        </w:rPr>
        <w:t xml:space="preserve">                                               </w:t>
      </w:r>
    </w:p>
    <w:p w14:paraId="603BC29B">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成立时间：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月</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日</w:t>
      </w:r>
    </w:p>
    <w:p w14:paraId="29A9EBB7">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经营期限：</w:t>
      </w:r>
      <w:r>
        <w:rPr>
          <w:rFonts w:hint="eastAsia"/>
          <w:color w:val="auto"/>
          <w:kern w:val="2"/>
          <w:sz w:val="21"/>
          <w:szCs w:val="21"/>
          <w:highlight w:val="none"/>
          <w:u w:val="single"/>
          <w:lang w:eastAsia="zh-CN"/>
        </w:rPr>
        <w:t xml:space="preserve">                                            </w:t>
      </w:r>
    </w:p>
    <w:p w14:paraId="25C13BE3">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姓    名：</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 xml:space="preserve">       性        别：</w:t>
      </w:r>
      <w:r>
        <w:rPr>
          <w:rFonts w:hint="eastAsia"/>
          <w:color w:val="auto"/>
          <w:kern w:val="2"/>
          <w:sz w:val="21"/>
          <w:szCs w:val="21"/>
          <w:highlight w:val="none"/>
          <w:u w:val="single"/>
          <w:lang w:eastAsia="zh-CN"/>
        </w:rPr>
        <w:t xml:space="preserve">                  </w:t>
      </w:r>
    </w:p>
    <w:p w14:paraId="6A67F748">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年    龄：</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 xml:space="preserve">        职        务：</w:t>
      </w:r>
      <w:r>
        <w:rPr>
          <w:rFonts w:hint="eastAsia"/>
          <w:color w:val="auto"/>
          <w:kern w:val="2"/>
          <w:sz w:val="21"/>
          <w:szCs w:val="21"/>
          <w:highlight w:val="none"/>
          <w:u w:val="single"/>
          <w:lang w:eastAsia="zh-CN"/>
        </w:rPr>
        <w:t xml:space="preserve">                </w:t>
      </w:r>
    </w:p>
    <w:p w14:paraId="0F79CCC8">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系</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（投标人名称）的法定代表人。</w:t>
      </w:r>
    </w:p>
    <w:p w14:paraId="3CD2958F">
      <w:pPr>
        <w:autoSpaceDE w:val="0"/>
        <w:autoSpaceDN w:val="0"/>
        <w:adjustRightInd w:val="0"/>
        <w:spacing w:before="240" w:after="240" w:line="360" w:lineRule="auto"/>
        <w:ind w:firstLine="840" w:firstLineChars="400"/>
        <w:jc w:val="both"/>
        <w:rPr>
          <w:rFonts w:hint="eastAsia"/>
          <w:color w:val="auto"/>
          <w:kern w:val="2"/>
          <w:sz w:val="21"/>
          <w:szCs w:val="21"/>
          <w:highlight w:val="none"/>
          <w:lang w:eastAsia="zh-CN"/>
        </w:rPr>
      </w:pPr>
      <w:r>
        <w:rPr>
          <w:rFonts w:hint="eastAsia"/>
          <w:color w:val="auto"/>
          <w:kern w:val="2"/>
          <w:sz w:val="21"/>
          <w:szCs w:val="21"/>
          <w:highlight w:val="none"/>
          <w:lang w:eastAsia="zh-CN"/>
        </w:rPr>
        <w:t>特此证明。</w:t>
      </w:r>
    </w:p>
    <w:p w14:paraId="25A91E30">
      <w:pPr>
        <w:rPr>
          <w:rFonts w:hint="eastAsia"/>
          <w:color w:val="auto"/>
          <w:highlight w:val="none"/>
          <w:lang w:eastAsia="zh-CN"/>
        </w:rPr>
      </w:pPr>
    </w:p>
    <w:p w14:paraId="25B65E82">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附：法定代表人身份证复印件。</w:t>
      </w:r>
    </w:p>
    <w:p w14:paraId="40D4E8CD">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p>
    <w:p w14:paraId="0B678534">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p>
    <w:p w14:paraId="731D6F31">
      <w:pPr>
        <w:autoSpaceDE w:val="0"/>
        <w:autoSpaceDN w:val="0"/>
        <w:adjustRightInd w:val="0"/>
        <w:spacing w:before="240" w:after="240" w:line="360" w:lineRule="auto"/>
        <w:jc w:val="right"/>
        <w:rPr>
          <w:rFonts w:hint="eastAsia"/>
          <w:color w:val="auto"/>
          <w:kern w:val="2"/>
          <w:sz w:val="21"/>
          <w:szCs w:val="21"/>
          <w:highlight w:val="none"/>
          <w:lang w:eastAsia="zh-CN"/>
        </w:rPr>
      </w:pPr>
      <w:r>
        <w:rPr>
          <w:rFonts w:hint="eastAsia"/>
          <w:color w:val="auto"/>
          <w:kern w:val="2"/>
          <w:sz w:val="21"/>
          <w:szCs w:val="21"/>
          <w:highlight w:val="none"/>
          <w:lang w:eastAsia="zh-CN"/>
        </w:rPr>
        <w:t>投标人：</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（盖单位章）</w:t>
      </w:r>
    </w:p>
    <w:p w14:paraId="7920995E">
      <w:pPr>
        <w:widowControl/>
        <w:adjustRightInd w:val="0"/>
        <w:spacing w:before="240" w:after="240" w:line="360" w:lineRule="auto"/>
        <w:ind w:firstLine="480"/>
        <w:jc w:val="right"/>
        <w:rPr>
          <w:rFonts w:hint="eastAsia"/>
          <w:color w:val="auto"/>
          <w:kern w:val="2"/>
          <w:sz w:val="21"/>
          <w:szCs w:val="21"/>
          <w:highlight w:val="none"/>
          <w:lang w:eastAsia="zh-CN"/>
        </w:rPr>
      </w:pPr>
      <w:r>
        <w:rPr>
          <w:rFonts w:hint="eastAsia"/>
          <w:color w:val="auto"/>
          <w:kern w:val="2"/>
          <w:sz w:val="21"/>
          <w:szCs w:val="21"/>
          <w:highlight w:val="none"/>
          <w:lang w:eastAsia="zh-CN"/>
        </w:rPr>
        <w:t xml:space="preserve">                       </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月</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日</w:t>
      </w:r>
    </w:p>
    <w:p w14:paraId="1463B812">
      <w:pPr>
        <w:widowControl/>
        <w:adjustRightInd w:val="0"/>
        <w:spacing w:before="240" w:after="240" w:line="360" w:lineRule="auto"/>
        <w:ind w:firstLine="480"/>
        <w:jc w:val="left"/>
        <w:rPr>
          <w:rFonts w:hint="default"/>
          <w:color w:val="auto"/>
          <w:kern w:val="2"/>
          <w:sz w:val="21"/>
          <w:szCs w:val="21"/>
          <w:highlight w:val="none"/>
          <w:lang w:val="en-US" w:eastAsia="zh-CN"/>
        </w:rPr>
      </w:pPr>
    </w:p>
    <w:p w14:paraId="42539ED4">
      <w:pPr>
        <w:widowControl/>
        <w:adjustRightInd w:val="0"/>
        <w:spacing w:before="240" w:after="240" w:line="360" w:lineRule="auto"/>
        <w:jc w:val="center"/>
        <w:rPr>
          <w:rFonts w:hint="eastAsia"/>
          <w:b/>
          <w:bCs/>
          <w:color w:val="auto"/>
          <w:sz w:val="44"/>
          <w:szCs w:val="44"/>
          <w:highlight w:val="none"/>
          <w:lang w:eastAsia="zh-CN"/>
        </w:rPr>
      </w:pPr>
      <w:r>
        <w:rPr>
          <w:rFonts w:hint="eastAsia"/>
          <w:b/>
          <w:color w:val="auto"/>
          <w:kern w:val="2"/>
          <w:sz w:val="30"/>
          <w:szCs w:val="24"/>
          <w:highlight w:val="none"/>
          <w:lang w:eastAsia="zh-CN"/>
        </w:rPr>
        <w:t>执行事务合伙人</w:t>
      </w:r>
      <w:r>
        <w:rPr>
          <w:rFonts w:hint="eastAsia"/>
          <w:b/>
          <w:color w:val="auto"/>
          <w:kern w:val="2"/>
          <w:sz w:val="30"/>
          <w:szCs w:val="24"/>
          <w:highlight w:val="none"/>
          <w:lang w:eastAsia="zh-CN"/>
        </w:rPr>
        <w:t>身份证明</w:t>
      </w:r>
    </w:p>
    <w:p w14:paraId="40D603FE">
      <w:pPr>
        <w:autoSpaceDE w:val="0"/>
        <w:autoSpaceDN w:val="0"/>
        <w:adjustRightInd w:val="0"/>
        <w:spacing w:before="240" w:after="240" w:line="360" w:lineRule="auto"/>
        <w:ind w:firstLine="480" w:firstLineChars="200"/>
        <w:jc w:val="both"/>
        <w:rPr>
          <w:rFonts w:hint="eastAsia"/>
          <w:color w:val="auto"/>
          <w:kern w:val="2"/>
          <w:sz w:val="24"/>
          <w:szCs w:val="24"/>
          <w:highlight w:val="none"/>
          <w:lang w:eastAsia="zh-CN"/>
        </w:rPr>
      </w:pPr>
    </w:p>
    <w:p w14:paraId="254D4B8A">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投 标 人：</w:t>
      </w:r>
      <w:r>
        <w:rPr>
          <w:rFonts w:hint="eastAsia"/>
          <w:color w:val="auto"/>
          <w:kern w:val="2"/>
          <w:sz w:val="21"/>
          <w:szCs w:val="21"/>
          <w:highlight w:val="none"/>
          <w:u w:val="single"/>
          <w:lang w:eastAsia="zh-CN"/>
        </w:rPr>
        <w:t xml:space="preserve">                                              </w:t>
      </w:r>
    </w:p>
    <w:p w14:paraId="037F1857">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单位性质：</w:t>
      </w:r>
      <w:r>
        <w:rPr>
          <w:rFonts w:hint="eastAsia"/>
          <w:color w:val="auto"/>
          <w:kern w:val="2"/>
          <w:sz w:val="21"/>
          <w:szCs w:val="21"/>
          <w:highlight w:val="none"/>
          <w:u w:val="single"/>
          <w:lang w:eastAsia="zh-CN"/>
        </w:rPr>
        <w:t xml:space="preserve">                                          </w:t>
      </w:r>
    </w:p>
    <w:p w14:paraId="1C3CF419">
      <w:pPr>
        <w:autoSpaceDE w:val="0"/>
        <w:autoSpaceDN w:val="0"/>
        <w:adjustRightInd w:val="0"/>
        <w:spacing w:before="240" w:after="240" w:line="360" w:lineRule="auto"/>
        <w:ind w:firstLine="420" w:firstLineChars="200"/>
        <w:jc w:val="both"/>
        <w:rPr>
          <w:rFonts w:hint="eastAsia"/>
          <w:color w:val="auto"/>
          <w:kern w:val="2"/>
          <w:sz w:val="21"/>
          <w:szCs w:val="21"/>
          <w:highlight w:val="none"/>
          <w:u w:val="single"/>
          <w:lang w:eastAsia="zh-CN"/>
        </w:rPr>
      </w:pPr>
      <w:r>
        <w:rPr>
          <w:rFonts w:hint="eastAsia"/>
          <w:color w:val="auto"/>
          <w:kern w:val="2"/>
          <w:sz w:val="21"/>
          <w:szCs w:val="21"/>
          <w:highlight w:val="none"/>
          <w:lang w:eastAsia="zh-CN"/>
        </w:rPr>
        <w:t>地    址：</w:t>
      </w:r>
      <w:r>
        <w:rPr>
          <w:rFonts w:hint="eastAsia"/>
          <w:color w:val="auto"/>
          <w:kern w:val="2"/>
          <w:sz w:val="21"/>
          <w:szCs w:val="21"/>
          <w:highlight w:val="none"/>
          <w:u w:val="single"/>
          <w:lang w:eastAsia="zh-CN"/>
        </w:rPr>
        <w:t xml:space="preserve">                                               </w:t>
      </w:r>
    </w:p>
    <w:p w14:paraId="1EA65920">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成立时间：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月</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日</w:t>
      </w:r>
    </w:p>
    <w:p w14:paraId="1BC3F559">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经营期限：</w:t>
      </w:r>
      <w:r>
        <w:rPr>
          <w:rFonts w:hint="eastAsia"/>
          <w:color w:val="auto"/>
          <w:kern w:val="2"/>
          <w:sz w:val="21"/>
          <w:szCs w:val="21"/>
          <w:highlight w:val="none"/>
          <w:u w:val="single"/>
          <w:lang w:eastAsia="zh-CN"/>
        </w:rPr>
        <w:t xml:space="preserve">                                            </w:t>
      </w:r>
    </w:p>
    <w:p w14:paraId="1007D285">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姓    名：</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 xml:space="preserve">       性        别：</w:t>
      </w:r>
      <w:r>
        <w:rPr>
          <w:rFonts w:hint="eastAsia"/>
          <w:color w:val="auto"/>
          <w:kern w:val="2"/>
          <w:sz w:val="21"/>
          <w:szCs w:val="21"/>
          <w:highlight w:val="none"/>
          <w:u w:val="single"/>
          <w:lang w:eastAsia="zh-CN"/>
        </w:rPr>
        <w:t xml:space="preserve">                  </w:t>
      </w:r>
    </w:p>
    <w:p w14:paraId="0519CC4A">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年    龄：</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 xml:space="preserve">        职        务：</w:t>
      </w:r>
      <w:r>
        <w:rPr>
          <w:rFonts w:hint="eastAsia"/>
          <w:color w:val="auto"/>
          <w:kern w:val="2"/>
          <w:sz w:val="21"/>
          <w:szCs w:val="21"/>
          <w:highlight w:val="none"/>
          <w:u w:val="single"/>
          <w:lang w:eastAsia="zh-CN"/>
        </w:rPr>
        <w:t xml:space="preserve">                </w:t>
      </w:r>
    </w:p>
    <w:p w14:paraId="5C52F60C">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系</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（投标人名称）的</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kern w:val="2"/>
          <w:sz w:val="21"/>
          <w:szCs w:val="21"/>
          <w:highlight w:val="none"/>
          <w:lang w:eastAsia="zh-CN"/>
        </w:rPr>
        <w:t>。</w:t>
      </w:r>
    </w:p>
    <w:p w14:paraId="7E92A3A2">
      <w:pPr>
        <w:autoSpaceDE w:val="0"/>
        <w:autoSpaceDN w:val="0"/>
        <w:adjustRightInd w:val="0"/>
        <w:spacing w:before="240" w:after="240" w:line="360" w:lineRule="auto"/>
        <w:ind w:firstLine="840" w:firstLineChars="400"/>
        <w:jc w:val="both"/>
        <w:rPr>
          <w:rFonts w:hint="eastAsia"/>
          <w:color w:val="auto"/>
          <w:kern w:val="2"/>
          <w:sz w:val="21"/>
          <w:szCs w:val="21"/>
          <w:highlight w:val="none"/>
          <w:lang w:eastAsia="zh-CN"/>
        </w:rPr>
      </w:pPr>
      <w:r>
        <w:rPr>
          <w:rFonts w:hint="eastAsia"/>
          <w:color w:val="auto"/>
          <w:kern w:val="2"/>
          <w:sz w:val="21"/>
          <w:szCs w:val="21"/>
          <w:highlight w:val="none"/>
          <w:lang w:eastAsia="zh-CN"/>
        </w:rPr>
        <w:t>特此证明。</w:t>
      </w:r>
    </w:p>
    <w:p w14:paraId="42CC50D4">
      <w:pPr>
        <w:rPr>
          <w:rFonts w:hint="eastAsia"/>
          <w:color w:val="auto"/>
          <w:highlight w:val="none"/>
          <w:lang w:eastAsia="zh-CN"/>
        </w:rPr>
      </w:pPr>
    </w:p>
    <w:p w14:paraId="4855385D">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附：</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kern w:val="2"/>
          <w:sz w:val="21"/>
          <w:szCs w:val="21"/>
          <w:highlight w:val="none"/>
          <w:lang w:eastAsia="zh-CN"/>
        </w:rPr>
        <w:t>身份证复印件。</w:t>
      </w:r>
    </w:p>
    <w:p w14:paraId="457FF338">
      <w:pPr>
        <w:autoSpaceDE w:val="0"/>
        <w:autoSpaceDN w:val="0"/>
        <w:adjustRightInd w:val="0"/>
        <w:spacing w:before="240" w:after="240" w:line="360" w:lineRule="auto"/>
        <w:jc w:val="both"/>
        <w:rPr>
          <w:rFonts w:hint="eastAsia"/>
          <w:color w:val="auto"/>
          <w:kern w:val="2"/>
          <w:sz w:val="21"/>
          <w:szCs w:val="21"/>
          <w:highlight w:val="none"/>
          <w:lang w:eastAsia="zh-CN"/>
        </w:rPr>
      </w:pPr>
    </w:p>
    <w:p w14:paraId="4755D274">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p>
    <w:p w14:paraId="6897367F">
      <w:pPr>
        <w:autoSpaceDE w:val="0"/>
        <w:autoSpaceDN w:val="0"/>
        <w:adjustRightInd w:val="0"/>
        <w:spacing w:before="240" w:after="240" w:line="360" w:lineRule="auto"/>
        <w:ind w:firstLine="420" w:firstLineChars="200"/>
        <w:jc w:val="both"/>
        <w:rPr>
          <w:rFonts w:hint="eastAsia"/>
          <w:color w:val="auto"/>
          <w:kern w:val="2"/>
          <w:sz w:val="21"/>
          <w:szCs w:val="21"/>
          <w:highlight w:val="none"/>
          <w:lang w:eastAsia="zh-CN"/>
        </w:rPr>
      </w:pPr>
    </w:p>
    <w:p w14:paraId="41668C92">
      <w:pPr>
        <w:autoSpaceDE w:val="0"/>
        <w:autoSpaceDN w:val="0"/>
        <w:adjustRightInd w:val="0"/>
        <w:spacing w:before="240" w:after="240" w:line="360" w:lineRule="auto"/>
        <w:jc w:val="right"/>
        <w:rPr>
          <w:rFonts w:hint="eastAsia"/>
          <w:color w:val="auto"/>
          <w:kern w:val="2"/>
          <w:sz w:val="21"/>
          <w:szCs w:val="21"/>
          <w:highlight w:val="none"/>
          <w:lang w:eastAsia="zh-CN"/>
        </w:rPr>
      </w:pPr>
      <w:r>
        <w:rPr>
          <w:rFonts w:hint="eastAsia"/>
          <w:color w:val="auto"/>
          <w:kern w:val="2"/>
          <w:sz w:val="21"/>
          <w:szCs w:val="21"/>
          <w:highlight w:val="none"/>
          <w:lang w:eastAsia="zh-CN"/>
        </w:rPr>
        <w:t>投标人：</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（盖单位章）</w:t>
      </w:r>
    </w:p>
    <w:p w14:paraId="15798C2D">
      <w:pPr>
        <w:widowControl/>
        <w:adjustRightInd w:val="0"/>
        <w:spacing w:before="240" w:after="240" w:line="360" w:lineRule="auto"/>
        <w:ind w:firstLine="480"/>
        <w:jc w:val="right"/>
        <w:rPr>
          <w:rFonts w:hint="eastAsia"/>
          <w:color w:val="auto"/>
          <w:kern w:val="2"/>
          <w:sz w:val="21"/>
          <w:szCs w:val="21"/>
          <w:highlight w:val="none"/>
          <w:lang w:eastAsia="zh-CN"/>
        </w:rPr>
      </w:pPr>
      <w:r>
        <w:rPr>
          <w:rFonts w:hint="eastAsia"/>
          <w:color w:val="auto"/>
          <w:kern w:val="2"/>
          <w:sz w:val="21"/>
          <w:szCs w:val="21"/>
          <w:highlight w:val="none"/>
          <w:lang w:eastAsia="zh-CN"/>
        </w:rPr>
        <w:t xml:space="preserve">                       </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月</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日</w:t>
      </w:r>
    </w:p>
    <w:p w14:paraId="12F09BF2">
      <w:pPr>
        <w:widowControl/>
        <w:adjustRightInd w:val="0"/>
        <w:spacing w:before="240" w:after="240" w:line="360" w:lineRule="auto"/>
        <w:ind w:firstLine="480"/>
        <w:jc w:val="right"/>
        <w:rPr>
          <w:rFonts w:hint="eastAsia"/>
          <w:color w:val="auto"/>
          <w:kern w:val="2"/>
          <w:sz w:val="21"/>
          <w:szCs w:val="21"/>
          <w:highlight w:val="none"/>
          <w:lang w:eastAsia="zh-CN"/>
        </w:rPr>
      </w:pPr>
    </w:p>
    <w:p w14:paraId="4D6637E3">
      <w:pPr>
        <w:widowControl/>
        <w:adjustRightInd w:val="0"/>
        <w:spacing w:before="240" w:after="240" w:line="360" w:lineRule="auto"/>
        <w:ind w:firstLine="480"/>
        <w:jc w:val="right"/>
        <w:rPr>
          <w:rFonts w:hint="eastAsia"/>
          <w:color w:val="auto"/>
          <w:sz w:val="21"/>
          <w:szCs w:val="21"/>
          <w:highlight w:val="none"/>
          <w:lang w:eastAsia="zh-CN"/>
        </w:rPr>
      </w:pPr>
    </w:p>
    <w:p w14:paraId="4F42F04A">
      <w:pPr>
        <w:widowControl/>
        <w:adjustRightInd w:val="0"/>
        <w:spacing w:before="240" w:after="240" w:line="360" w:lineRule="auto"/>
        <w:ind w:firstLine="480"/>
        <w:jc w:val="right"/>
        <w:rPr>
          <w:rFonts w:hint="eastAsia"/>
          <w:color w:val="auto"/>
          <w:sz w:val="21"/>
          <w:szCs w:val="21"/>
          <w:highlight w:val="none"/>
          <w:lang w:eastAsia="zh-CN"/>
        </w:rPr>
      </w:pPr>
    </w:p>
    <w:p w14:paraId="747F26E2">
      <w:pPr>
        <w:widowControl/>
        <w:adjustRightInd w:val="0"/>
        <w:spacing w:before="240" w:after="240" w:line="360" w:lineRule="auto"/>
        <w:ind w:firstLine="480"/>
        <w:jc w:val="right"/>
        <w:rPr>
          <w:rFonts w:hint="eastAsia"/>
          <w:color w:val="auto"/>
          <w:sz w:val="21"/>
          <w:szCs w:val="21"/>
          <w:highlight w:val="none"/>
          <w:lang w:eastAsia="zh-CN"/>
        </w:rPr>
      </w:pPr>
    </w:p>
    <w:p w14:paraId="6F9B746E">
      <w:pPr>
        <w:widowControl/>
        <w:spacing w:before="240" w:after="240"/>
        <w:outlineLvl w:val="1"/>
        <w:rPr>
          <w:rFonts w:hint="eastAsia"/>
          <w:b/>
          <w:color w:val="auto"/>
          <w:sz w:val="32"/>
          <w:szCs w:val="24"/>
          <w:highlight w:val="none"/>
          <w:lang w:eastAsia="zh-CN"/>
        </w:rPr>
      </w:pPr>
      <w:bookmarkStart w:id="153" w:name="_Toc18676"/>
      <w:r>
        <w:rPr>
          <w:rFonts w:hint="eastAsia"/>
          <w:b/>
          <w:color w:val="auto"/>
          <w:sz w:val="32"/>
          <w:szCs w:val="24"/>
          <w:highlight w:val="none"/>
          <w:lang w:eastAsia="zh-CN"/>
        </w:rPr>
        <w:t>二、授权委托书</w:t>
      </w:r>
      <w:bookmarkEnd w:id="153"/>
    </w:p>
    <w:p w14:paraId="2D3D5D0B">
      <w:pPr>
        <w:autoSpaceDE w:val="0"/>
        <w:autoSpaceDN w:val="0"/>
        <w:adjustRightInd w:val="0"/>
        <w:spacing w:before="240" w:after="240"/>
        <w:jc w:val="center"/>
        <w:rPr>
          <w:rFonts w:hint="eastAsia"/>
          <w:b/>
          <w:color w:val="auto"/>
          <w:kern w:val="2"/>
          <w:sz w:val="30"/>
          <w:szCs w:val="24"/>
          <w:highlight w:val="none"/>
          <w:lang w:eastAsia="zh-CN"/>
        </w:rPr>
      </w:pPr>
    </w:p>
    <w:p w14:paraId="50EC23A8">
      <w:pPr>
        <w:autoSpaceDE w:val="0"/>
        <w:autoSpaceDN w:val="0"/>
        <w:adjustRightInd w:val="0"/>
        <w:spacing w:before="240" w:after="240"/>
        <w:jc w:val="center"/>
        <w:rPr>
          <w:rFonts w:hint="eastAsia"/>
          <w:b/>
          <w:color w:val="auto"/>
          <w:kern w:val="2"/>
          <w:sz w:val="30"/>
          <w:szCs w:val="24"/>
          <w:highlight w:val="none"/>
          <w:lang w:eastAsia="zh-CN"/>
        </w:rPr>
      </w:pPr>
      <w:r>
        <w:rPr>
          <w:rFonts w:hint="eastAsia"/>
          <w:b/>
          <w:color w:val="auto"/>
          <w:kern w:val="2"/>
          <w:sz w:val="30"/>
          <w:szCs w:val="24"/>
          <w:highlight w:val="none"/>
          <w:lang w:eastAsia="zh-CN"/>
        </w:rPr>
        <w:t>授权委托书</w:t>
      </w:r>
    </w:p>
    <w:p w14:paraId="6E8AD5B7">
      <w:pPr>
        <w:autoSpaceDE w:val="0"/>
        <w:autoSpaceDN w:val="0"/>
        <w:adjustRightInd w:val="0"/>
        <w:spacing w:before="240" w:after="240"/>
        <w:jc w:val="center"/>
        <w:rPr>
          <w:rFonts w:hint="eastAsia"/>
          <w:color w:val="auto"/>
          <w:sz w:val="21"/>
          <w:szCs w:val="21"/>
          <w:highlight w:val="none"/>
          <w:lang w:eastAsia="zh-CN"/>
        </w:rPr>
      </w:pPr>
    </w:p>
    <w:p w14:paraId="41726EFD">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本人</w:t>
      </w:r>
      <w:r>
        <w:rPr>
          <w:rFonts w:hint="eastAsia"/>
          <w:color w:val="auto"/>
          <w:sz w:val="21"/>
          <w:szCs w:val="21"/>
          <w:highlight w:val="none"/>
          <w:u w:val="single"/>
          <w:lang w:eastAsia="zh-CN"/>
        </w:rPr>
        <w:t xml:space="preserve">            </w:t>
      </w:r>
      <w:r>
        <w:rPr>
          <w:rFonts w:hint="eastAsia"/>
          <w:color w:val="auto"/>
          <w:sz w:val="21"/>
          <w:szCs w:val="21"/>
          <w:highlight w:val="none"/>
          <w:lang w:eastAsia="zh-CN"/>
        </w:rPr>
        <w:t>（姓名）系</w:t>
      </w:r>
      <w:r>
        <w:rPr>
          <w:rFonts w:hint="eastAsia"/>
          <w:color w:val="auto"/>
          <w:sz w:val="21"/>
          <w:szCs w:val="21"/>
          <w:highlight w:val="none"/>
          <w:u w:val="single"/>
          <w:lang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 xml:space="preserve">       </w:t>
      </w:r>
      <w:r>
        <w:rPr>
          <w:rFonts w:hint="eastAsia"/>
          <w:color w:val="auto"/>
          <w:sz w:val="21"/>
          <w:szCs w:val="21"/>
          <w:highlight w:val="none"/>
          <w:lang w:eastAsia="zh-CN"/>
        </w:rPr>
        <w:t>（投标人名称）的</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w:t>
      </w:r>
      <w:r>
        <w:rPr>
          <w:rFonts w:hint="eastAsia"/>
          <w:color w:val="auto"/>
          <w:sz w:val="21"/>
          <w:szCs w:val="21"/>
          <w:highlight w:val="none"/>
          <w:u w:val="none"/>
          <w:lang w:eastAsia="zh-CN"/>
        </w:rPr>
        <w:t>法定</w:t>
      </w:r>
      <w:r>
        <w:rPr>
          <w:rFonts w:hint="eastAsia"/>
          <w:color w:val="auto"/>
          <w:sz w:val="21"/>
          <w:szCs w:val="21"/>
          <w:highlight w:val="none"/>
          <w:lang w:eastAsia="zh-CN"/>
        </w:rPr>
        <w:t>代表人</w:t>
      </w:r>
      <w:r>
        <w:rPr>
          <w:rFonts w:hint="eastAsia"/>
          <w:b w:val="0"/>
          <w:bCs w:val="0"/>
          <w:color w:val="auto"/>
          <w:kern w:val="2"/>
          <w:sz w:val="21"/>
          <w:szCs w:val="21"/>
          <w:highlight w:val="none"/>
          <w:lang w:val="en-US" w:eastAsia="zh-CN"/>
        </w:rPr>
        <w:t>/</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sz w:val="21"/>
          <w:szCs w:val="21"/>
          <w:highlight w:val="none"/>
          <w:lang w:eastAsia="zh-CN"/>
        </w:rPr>
        <w:t>，现委托</w:t>
      </w:r>
      <w:r>
        <w:rPr>
          <w:rFonts w:hint="eastAsia"/>
          <w:color w:val="auto"/>
          <w:sz w:val="21"/>
          <w:szCs w:val="21"/>
          <w:highlight w:val="none"/>
          <w:u w:val="single"/>
          <w:lang w:eastAsia="zh-CN"/>
        </w:rPr>
        <w:t xml:space="preserve">            </w:t>
      </w:r>
      <w:r>
        <w:rPr>
          <w:rFonts w:hint="eastAsia"/>
          <w:b/>
          <w:bCs/>
          <w:color w:val="auto"/>
          <w:sz w:val="21"/>
          <w:szCs w:val="21"/>
          <w:highlight w:val="none"/>
          <w:lang w:eastAsia="zh-CN"/>
        </w:rPr>
        <w:t>（姓名）</w:t>
      </w:r>
      <w:r>
        <w:rPr>
          <w:rFonts w:hint="eastAsia"/>
          <w:color w:val="auto"/>
          <w:sz w:val="21"/>
          <w:szCs w:val="21"/>
          <w:highlight w:val="none"/>
          <w:lang w:eastAsia="zh-CN"/>
        </w:rPr>
        <w:t>为我方代理人。</w:t>
      </w:r>
      <w:r>
        <w:rPr>
          <w:rFonts w:hint="eastAsia"/>
          <w:color w:val="auto"/>
          <w:kern w:val="2"/>
          <w:sz w:val="21"/>
          <w:szCs w:val="21"/>
          <w:highlight w:val="none"/>
          <w:lang w:eastAsia="zh-CN"/>
        </w:rPr>
        <w:t>代理人根据本授权委托书，以我方名义签署、澄清、说明、补正、递交、撤回、修改</w:t>
      </w:r>
      <w:r>
        <w:rPr>
          <w:rFonts w:hint="eastAsia"/>
          <w:color w:val="auto"/>
          <w:kern w:val="2"/>
          <w:sz w:val="21"/>
          <w:szCs w:val="21"/>
          <w:highlight w:val="none"/>
          <w:u w:val="single"/>
          <w:lang w:eastAsia="zh-CN"/>
        </w:rPr>
        <w:t xml:space="preserve">        （项目名称）   </w:t>
      </w:r>
      <w:r>
        <w:rPr>
          <w:rFonts w:hint="eastAsia"/>
          <w:color w:val="auto"/>
          <w:kern w:val="2"/>
          <w:sz w:val="21"/>
          <w:szCs w:val="21"/>
          <w:highlight w:val="none"/>
          <w:lang w:eastAsia="zh-CN"/>
        </w:rPr>
        <w:t>投标文件、处理投诉（异议）、签订合同和处理有关事宜，其法律后果由我方承担。</w:t>
      </w:r>
    </w:p>
    <w:p w14:paraId="08EEF966">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委托期限：</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 。</w:t>
      </w:r>
    </w:p>
    <w:p w14:paraId="66985A6A">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代理人无转委托权。</w:t>
      </w:r>
    </w:p>
    <w:p w14:paraId="4AA9C428">
      <w:pPr>
        <w:autoSpaceDE w:val="0"/>
        <w:autoSpaceDN w:val="0"/>
        <w:adjustRightInd w:val="0"/>
        <w:spacing w:before="240" w:after="240" w:line="360" w:lineRule="auto"/>
        <w:ind w:firstLine="420" w:firstLineChars="200"/>
        <w:rPr>
          <w:rFonts w:hint="eastAsia"/>
          <w:color w:val="auto"/>
          <w:sz w:val="21"/>
          <w:szCs w:val="21"/>
          <w:highlight w:val="none"/>
          <w:lang w:eastAsia="zh-CN"/>
        </w:rPr>
      </w:pPr>
    </w:p>
    <w:p w14:paraId="67DF39D7">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附：</w:t>
      </w:r>
      <w:r>
        <w:rPr>
          <w:rFonts w:hint="eastAsia"/>
          <w:color w:val="auto"/>
          <w:szCs w:val="21"/>
          <w:highlight w:val="none"/>
          <w:lang w:eastAsia="zh-CN"/>
        </w:rPr>
        <w:t>委托代理人身份证复印件</w:t>
      </w:r>
    </w:p>
    <w:p w14:paraId="75B925AF">
      <w:pPr>
        <w:autoSpaceDE w:val="0"/>
        <w:autoSpaceDN w:val="0"/>
        <w:adjustRightInd w:val="0"/>
        <w:spacing w:before="240" w:after="240" w:line="360" w:lineRule="auto"/>
        <w:ind w:firstLine="420" w:firstLineChars="200"/>
        <w:rPr>
          <w:rFonts w:hint="eastAsia"/>
          <w:color w:val="auto"/>
          <w:sz w:val="21"/>
          <w:szCs w:val="21"/>
          <w:highlight w:val="none"/>
          <w:lang w:eastAsia="zh-CN"/>
        </w:rPr>
      </w:pPr>
    </w:p>
    <w:p w14:paraId="59F588A6">
      <w:pPr>
        <w:autoSpaceDE w:val="0"/>
        <w:autoSpaceDN w:val="0"/>
        <w:adjustRightInd w:val="0"/>
        <w:spacing w:before="240" w:after="240" w:line="360" w:lineRule="auto"/>
        <w:ind w:firstLine="420" w:firstLineChars="200"/>
        <w:rPr>
          <w:rFonts w:hint="eastAsia"/>
          <w:color w:val="auto"/>
          <w:sz w:val="21"/>
          <w:szCs w:val="21"/>
          <w:highlight w:val="none"/>
          <w:lang w:eastAsia="zh-CN"/>
        </w:rPr>
      </w:pPr>
    </w:p>
    <w:p w14:paraId="76C52BEC">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投  标  人：</w:t>
      </w:r>
      <w:r>
        <w:rPr>
          <w:rFonts w:hint="eastAsia"/>
          <w:color w:val="auto"/>
          <w:sz w:val="21"/>
          <w:szCs w:val="21"/>
          <w:highlight w:val="none"/>
          <w:u w:val="single"/>
          <w:lang w:eastAsia="zh-CN"/>
        </w:rPr>
        <w:t xml:space="preserve">                        </w:t>
      </w:r>
      <w:r>
        <w:rPr>
          <w:rFonts w:hint="eastAsia"/>
          <w:color w:val="auto"/>
          <w:sz w:val="21"/>
          <w:szCs w:val="21"/>
          <w:highlight w:val="none"/>
          <w:lang w:eastAsia="zh-CN"/>
        </w:rPr>
        <w:t>（盖单位章）</w:t>
      </w:r>
    </w:p>
    <w:p w14:paraId="42ED8BE2">
      <w:pPr>
        <w:autoSpaceDE w:val="0"/>
        <w:autoSpaceDN w:val="0"/>
        <w:adjustRightInd w:val="0"/>
        <w:spacing w:before="240" w:after="240" w:line="360" w:lineRule="auto"/>
        <w:ind w:firstLine="420" w:firstLineChars="200"/>
        <w:rPr>
          <w:rFonts w:hint="eastAsia"/>
          <w:color w:val="auto"/>
          <w:sz w:val="21"/>
          <w:szCs w:val="21"/>
          <w:highlight w:val="none"/>
          <w:lang w:eastAsia="zh-CN"/>
        </w:rPr>
      </w:pPr>
    </w:p>
    <w:p w14:paraId="02F6BBC0">
      <w:pPr>
        <w:autoSpaceDE w:val="0"/>
        <w:autoSpaceDN w:val="0"/>
        <w:adjustRightInd w:val="0"/>
        <w:spacing w:before="240" w:after="24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法定代表人</w:t>
      </w:r>
      <w:r>
        <w:rPr>
          <w:rFonts w:hint="eastAsia"/>
          <w:b w:val="0"/>
          <w:bCs w:val="0"/>
          <w:color w:val="auto"/>
          <w:kern w:val="2"/>
          <w:sz w:val="21"/>
          <w:szCs w:val="21"/>
          <w:highlight w:val="none"/>
          <w:lang w:eastAsia="zh-CN"/>
        </w:rPr>
        <w:t>（</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lang w:eastAsia="zh-CN"/>
        </w:rPr>
        <w:t>（签字或盖章）</w:t>
      </w:r>
    </w:p>
    <w:p w14:paraId="18B94136">
      <w:pPr>
        <w:autoSpaceDE w:val="0"/>
        <w:autoSpaceDN w:val="0"/>
        <w:adjustRightInd w:val="0"/>
        <w:spacing w:before="240" w:after="240" w:line="360" w:lineRule="auto"/>
        <w:ind w:firstLine="420" w:firstLineChars="200"/>
        <w:rPr>
          <w:rFonts w:hint="eastAsia"/>
          <w:color w:val="auto"/>
          <w:sz w:val="21"/>
          <w:szCs w:val="21"/>
          <w:highlight w:val="none"/>
          <w:lang w:eastAsia="zh-CN"/>
        </w:rPr>
      </w:pPr>
    </w:p>
    <w:p w14:paraId="082B8D8A">
      <w:pPr>
        <w:autoSpaceDE w:val="0"/>
        <w:autoSpaceDN w:val="0"/>
        <w:adjustRightInd w:val="0"/>
        <w:spacing w:before="240" w:after="240" w:line="360" w:lineRule="auto"/>
        <w:ind w:firstLine="420" w:firstLineChars="200"/>
        <w:rPr>
          <w:rFonts w:hint="default"/>
          <w:color w:val="auto"/>
          <w:sz w:val="21"/>
          <w:szCs w:val="21"/>
          <w:highlight w:val="none"/>
          <w:u w:val="single"/>
          <w:lang w:val="en-US" w:eastAsia="zh-CN"/>
        </w:rPr>
      </w:pPr>
      <w:r>
        <w:rPr>
          <w:rFonts w:hint="eastAsia"/>
          <w:color w:val="auto"/>
          <w:sz w:val="21"/>
          <w:szCs w:val="21"/>
          <w:highlight w:val="none"/>
          <w:lang w:val="en-US" w:eastAsia="zh-CN"/>
        </w:rPr>
        <w:t>代理人联系电话：</w:t>
      </w:r>
      <w:r>
        <w:rPr>
          <w:rFonts w:hint="eastAsia"/>
          <w:color w:val="auto"/>
          <w:sz w:val="21"/>
          <w:szCs w:val="21"/>
          <w:highlight w:val="none"/>
          <w:u w:val="single"/>
          <w:lang w:val="en-US" w:eastAsia="zh-CN"/>
        </w:rPr>
        <w:t xml:space="preserve">                          </w:t>
      </w:r>
    </w:p>
    <w:p w14:paraId="68F7260E">
      <w:pPr>
        <w:widowControl/>
        <w:adjustRightInd w:val="0"/>
        <w:spacing w:before="240" w:after="240" w:line="360" w:lineRule="auto"/>
        <w:ind w:firstLine="478" w:firstLineChars="228"/>
        <w:jc w:val="right"/>
        <w:rPr>
          <w:rFonts w:hint="eastAsia"/>
          <w:b/>
          <w:color w:val="auto"/>
          <w:sz w:val="21"/>
          <w:szCs w:val="21"/>
          <w:highlight w:val="none"/>
          <w:lang w:eastAsia="zh-CN"/>
        </w:rPr>
      </w:pPr>
      <w:r>
        <w:rPr>
          <w:rFonts w:hint="eastAsia"/>
          <w:color w:val="auto"/>
          <w:sz w:val="21"/>
          <w:szCs w:val="21"/>
          <w:highlight w:val="none"/>
          <w:u w:val="single"/>
          <w:lang w:eastAsia="zh-CN"/>
        </w:rPr>
        <w:t xml:space="preserve">        </w:t>
      </w:r>
      <w:r>
        <w:rPr>
          <w:rFonts w:hint="eastAsia"/>
          <w:color w:val="auto"/>
          <w:sz w:val="21"/>
          <w:szCs w:val="21"/>
          <w:highlight w:val="none"/>
          <w:lang w:eastAsia="zh-CN"/>
        </w:rPr>
        <w:t>年</w:t>
      </w:r>
      <w:r>
        <w:rPr>
          <w:rFonts w:hint="eastAsia"/>
          <w:color w:val="auto"/>
          <w:sz w:val="21"/>
          <w:szCs w:val="21"/>
          <w:highlight w:val="none"/>
          <w:u w:val="single"/>
          <w:lang w:eastAsia="zh-CN"/>
        </w:rPr>
        <w:t xml:space="preserve">       </w:t>
      </w:r>
      <w:r>
        <w:rPr>
          <w:rFonts w:hint="eastAsia"/>
          <w:color w:val="auto"/>
          <w:sz w:val="21"/>
          <w:szCs w:val="21"/>
          <w:highlight w:val="none"/>
          <w:lang w:eastAsia="zh-CN"/>
        </w:rPr>
        <w:t>月</w:t>
      </w:r>
      <w:r>
        <w:rPr>
          <w:rFonts w:hint="eastAsia"/>
          <w:color w:val="auto"/>
          <w:sz w:val="21"/>
          <w:szCs w:val="21"/>
          <w:highlight w:val="none"/>
          <w:u w:val="single"/>
          <w:lang w:eastAsia="zh-CN"/>
        </w:rPr>
        <w:t xml:space="preserve">       </w:t>
      </w:r>
      <w:r>
        <w:rPr>
          <w:rFonts w:hint="eastAsia"/>
          <w:color w:val="auto"/>
          <w:sz w:val="21"/>
          <w:szCs w:val="21"/>
          <w:highlight w:val="none"/>
          <w:lang w:eastAsia="zh-CN"/>
        </w:rPr>
        <w:t>日</w:t>
      </w:r>
    </w:p>
    <w:p w14:paraId="52F0E6BA">
      <w:pPr>
        <w:widowControl/>
        <w:adjustRightInd w:val="0"/>
        <w:spacing w:before="240" w:after="240" w:line="360" w:lineRule="auto"/>
        <w:ind w:firstLine="481" w:firstLineChars="228"/>
        <w:rPr>
          <w:rFonts w:hint="eastAsia"/>
          <w:b/>
          <w:color w:val="auto"/>
          <w:sz w:val="21"/>
          <w:szCs w:val="21"/>
          <w:highlight w:val="none"/>
          <w:lang w:eastAsia="zh-CN"/>
        </w:rPr>
      </w:pPr>
    </w:p>
    <w:p w14:paraId="21504F2F">
      <w:pPr>
        <w:widowControl/>
        <w:adjustRightInd w:val="0"/>
        <w:spacing w:before="240" w:after="240" w:line="360" w:lineRule="auto"/>
        <w:rPr>
          <w:rFonts w:hint="eastAsia"/>
          <w:b/>
          <w:color w:val="auto"/>
          <w:sz w:val="21"/>
          <w:szCs w:val="21"/>
          <w:highlight w:val="none"/>
          <w:lang w:eastAsia="zh-CN"/>
        </w:rPr>
      </w:pPr>
    </w:p>
    <w:p w14:paraId="1D1EB591">
      <w:pPr>
        <w:widowControl/>
        <w:adjustRightInd w:val="0"/>
        <w:spacing w:before="240" w:after="240" w:line="360" w:lineRule="auto"/>
        <w:rPr>
          <w:rFonts w:hint="eastAsia"/>
          <w:b/>
          <w:color w:val="auto"/>
          <w:sz w:val="21"/>
          <w:szCs w:val="21"/>
          <w:highlight w:val="none"/>
          <w:lang w:eastAsia="zh-CN"/>
        </w:rPr>
      </w:pPr>
    </w:p>
    <w:p w14:paraId="65A8EE08">
      <w:pPr>
        <w:widowControl/>
        <w:spacing w:before="240" w:after="240"/>
        <w:outlineLvl w:val="1"/>
        <w:rPr>
          <w:rFonts w:hint="eastAsia"/>
          <w:b/>
          <w:color w:val="auto"/>
          <w:sz w:val="32"/>
          <w:szCs w:val="24"/>
          <w:highlight w:val="none"/>
          <w:lang w:eastAsia="zh-CN"/>
        </w:rPr>
      </w:pPr>
      <w:bookmarkStart w:id="154" w:name="_Toc18867"/>
      <w:r>
        <w:rPr>
          <w:rFonts w:hint="eastAsia"/>
          <w:b/>
          <w:color w:val="auto"/>
          <w:sz w:val="32"/>
          <w:szCs w:val="24"/>
          <w:highlight w:val="none"/>
          <w:lang w:eastAsia="zh-CN"/>
        </w:rPr>
        <w:t>三、投标函</w:t>
      </w:r>
      <w:bookmarkEnd w:id="154"/>
    </w:p>
    <w:p w14:paraId="043BD3BD">
      <w:pPr>
        <w:pStyle w:val="136"/>
        <w:spacing w:before="240" w:after="240" w:line="360" w:lineRule="auto"/>
        <w:jc w:val="center"/>
        <w:rPr>
          <w:rFonts w:hint="eastAsia" w:hAnsi="宋体" w:cs="宋体"/>
          <w:b/>
          <w:color w:val="auto"/>
          <w:sz w:val="30"/>
          <w:szCs w:val="24"/>
          <w:highlight w:val="none"/>
        </w:rPr>
      </w:pPr>
      <w:r>
        <w:rPr>
          <w:rFonts w:hint="eastAsia" w:hAnsi="宋体" w:cs="宋体"/>
          <w:b/>
          <w:color w:val="auto"/>
          <w:sz w:val="30"/>
          <w:szCs w:val="24"/>
          <w:highlight w:val="none"/>
        </w:rPr>
        <w:t>投标函</w:t>
      </w:r>
    </w:p>
    <w:p w14:paraId="08C045FB">
      <w:pPr>
        <w:pStyle w:val="136"/>
        <w:snapToGrid w:val="0"/>
        <w:spacing w:before="240" w:after="240" w:line="360" w:lineRule="auto"/>
        <w:rPr>
          <w:rFonts w:hint="eastAsia" w:hAnsi="宋体" w:cs="宋体"/>
          <w:color w:val="auto"/>
          <w:sz w:val="21"/>
          <w:szCs w:val="21"/>
          <w:highlight w:val="none"/>
        </w:rPr>
      </w:pPr>
      <w:r>
        <w:rPr>
          <w:rFonts w:hint="eastAsia" w:hAnsi="宋体" w:cs="宋体"/>
          <w:color w:val="auto"/>
          <w:sz w:val="21"/>
          <w:szCs w:val="21"/>
          <w:highlight w:val="none"/>
          <w:u w:val="single"/>
        </w:rPr>
        <w:t>盐城东方投资开集团有限公司</w:t>
      </w:r>
      <w:r>
        <w:rPr>
          <w:rFonts w:hint="eastAsia" w:hAnsi="宋体" w:cs="宋体"/>
          <w:color w:val="auto"/>
          <w:sz w:val="21"/>
          <w:szCs w:val="21"/>
          <w:highlight w:val="none"/>
        </w:rPr>
        <w:t>：</w:t>
      </w:r>
    </w:p>
    <w:p w14:paraId="7FE68C9B">
      <w:pPr>
        <w:spacing w:line="440" w:lineRule="exact"/>
        <w:ind w:firstLine="420" w:firstLineChars="200"/>
        <w:rPr>
          <w:rFonts w:hint="eastAsia"/>
          <w:color w:val="auto"/>
          <w:sz w:val="21"/>
          <w:szCs w:val="21"/>
          <w:highlight w:val="none"/>
          <w:lang w:eastAsia="zh-CN"/>
        </w:rPr>
      </w:pPr>
      <w:r>
        <w:rPr>
          <w:rFonts w:hint="eastAsia"/>
          <w:color w:val="auto"/>
          <w:sz w:val="21"/>
          <w:szCs w:val="21"/>
          <w:highlight w:val="none"/>
          <w:lang w:eastAsia="zh-CN"/>
        </w:rPr>
        <w:t>1、我方已仔细研究了</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（招标项目名称）招标文件的全部内容，愿以人民币（</w:t>
      </w:r>
      <w:r>
        <w:rPr>
          <w:rFonts w:hint="eastAsia"/>
          <w:b/>
          <w:color w:val="auto"/>
          <w:sz w:val="21"/>
          <w:szCs w:val="21"/>
          <w:highlight w:val="none"/>
          <w:lang w:eastAsia="zh-CN"/>
        </w:rPr>
        <w:t>大写）：</w:t>
      </w:r>
      <w:r>
        <w:rPr>
          <w:rFonts w:hint="eastAsia"/>
          <w:b/>
          <w:color w:val="auto"/>
          <w:sz w:val="21"/>
          <w:szCs w:val="21"/>
          <w:highlight w:val="none"/>
          <w:u w:val="single"/>
          <w:lang w:eastAsia="zh-CN"/>
        </w:rPr>
        <w:t xml:space="preserve">                       </w:t>
      </w:r>
      <w:r>
        <w:rPr>
          <w:rFonts w:hint="eastAsia"/>
          <w:b/>
          <w:color w:val="auto"/>
          <w:sz w:val="21"/>
          <w:szCs w:val="21"/>
          <w:highlight w:val="none"/>
          <w:lang w:eastAsia="zh-CN"/>
        </w:rPr>
        <w:t>（RMB￥：</w:t>
      </w:r>
      <w:r>
        <w:rPr>
          <w:rFonts w:hint="eastAsia"/>
          <w:b/>
          <w:color w:val="auto"/>
          <w:sz w:val="21"/>
          <w:szCs w:val="21"/>
          <w:highlight w:val="none"/>
          <w:u w:val="single"/>
          <w:lang w:eastAsia="zh-CN"/>
        </w:rPr>
        <w:t xml:space="preserve">         </w:t>
      </w:r>
      <w:r>
        <w:rPr>
          <w:rFonts w:hint="eastAsia"/>
          <w:b/>
          <w:color w:val="auto"/>
          <w:sz w:val="21"/>
          <w:szCs w:val="21"/>
          <w:highlight w:val="none"/>
          <w:lang w:eastAsia="zh-CN"/>
        </w:rPr>
        <w:t>元）</w:t>
      </w:r>
      <w:r>
        <w:rPr>
          <w:rFonts w:hint="eastAsia"/>
          <w:color w:val="auto"/>
          <w:sz w:val="21"/>
          <w:szCs w:val="21"/>
          <w:highlight w:val="none"/>
          <w:lang w:eastAsia="zh-CN"/>
        </w:rPr>
        <w:t>的投标总价，</w:t>
      </w:r>
      <w:r>
        <w:rPr>
          <w:rFonts w:hint="eastAsia"/>
          <w:color w:val="auto"/>
          <w:highlight w:val="none"/>
          <w:lang w:eastAsia="zh-CN"/>
        </w:rPr>
        <w:t>服务期限</w:t>
      </w:r>
      <w:r>
        <w:rPr>
          <w:rFonts w:hint="eastAsia"/>
          <w:color w:val="auto"/>
          <w:sz w:val="21"/>
          <w:szCs w:val="21"/>
          <w:highlight w:val="none"/>
          <w:lang w:eastAsia="zh-CN"/>
        </w:rPr>
        <w:t>：</w:t>
      </w:r>
      <w:r>
        <w:rPr>
          <w:rFonts w:hint="eastAsia"/>
          <w:b/>
          <w:bCs/>
          <w:color w:val="auto"/>
          <w:sz w:val="21"/>
          <w:szCs w:val="21"/>
          <w:highlight w:val="none"/>
          <w:u w:val="single"/>
          <w:lang w:eastAsia="zh-CN"/>
        </w:rPr>
        <w:t xml:space="preserve"> </w:t>
      </w:r>
      <w:r>
        <w:rPr>
          <w:rFonts w:hint="eastAsia"/>
          <w:b/>
          <w:bCs/>
          <w:color w:val="auto"/>
          <w:sz w:val="21"/>
          <w:szCs w:val="21"/>
          <w:highlight w:val="none"/>
          <w:u w:val="single"/>
          <w:lang w:val="en-US" w:eastAsia="zh-CN"/>
        </w:rPr>
        <w:t xml:space="preserve">     </w:t>
      </w:r>
      <w:r>
        <w:rPr>
          <w:rFonts w:hint="eastAsia"/>
          <w:b/>
          <w:bCs/>
          <w:color w:val="auto"/>
          <w:sz w:val="21"/>
          <w:szCs w:val="21"/>
          <w:highlight w:val="none"/>
          <w:u w:val="none"/>
          <w:lang w:val="en-US" w:eastAsia="zh-CN"/>
        </w:rPr>
        <w:t>日历天</w:t>
      </w:r>
      <w:r>
        <w:rPr>
          <w:rFonts w:hint="eastAsia"/>
          <w:color w:val="auto"/>
          <w:sz w:val="21"/>
          <w:szCs w:val="21"/>
          <w:highlight w:val="none"/>
          <w:lang w:eastAsia="zh-CN"/>
        </w:rPr>
        <w:t>，承担本项目招标范围内的全部服务项目，按合同约定完成服务工作，并承担法律法规规定的责任和义务。</w:t>
      </w:r>
    </w:p>
    <w:p w14:paraId="01DBE6D5">
      <w:pPr>
        <w:pStyle w:val="42"/>
        <w:spacing w:line="440" w:lineRule="exact"/>
        <w:ind w:firstLine="420"/>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2、如果我方中标，将派出</w:t>
      </w:r>
      <w:r>
        <w:rPr>
          <w:rFonts w:hint="eastAsia" w:ascii="宋体" w:eastAsia="宋体"/>
          <w:b/>
          <w:color w:val="auto"/>
          <w:sz w:val="21"/>
          <w:szCs w:val="21"/>
          <w:highlight w:val="none"/>
          <w:lang w:eastAsia="zh-CN"/>
        </w:rPr>
        <w:t xml:space="preserve"> </w:t>
      </w:r>
      <w:r>
        <w:rPr>
          <w:rFonts w:hint="eastAsia" w:ascii="宋体" w:eastAsia="宋体"/>
          <w:b/>
          <w:color w:val="auto"/>
          <w:sz w:val="21"/>
          <w:szCs w:val="21"/>
          <w:highlight w:val="none"/>
          <w:u w:val="single"/>
          <w:lang w:eastAsia="zh-CN"/>
        </w:rPr>
        <w:t xml:space="preserve">         </w:t>
      </w:r>
      <w:r>
        <w:rPr>
          <w:rFonts w:hint="eastAsia" w:ascii="宋体" w:eastAsia="宋体"/>
          <w:b/>
          <w:color w:val="auto"/>
          <w:sz w:val="21"/>
          <w:szCs w:val="21"/>
          <w:highlight w:val="none"/>
          <w:lang w:eastAsia="zh-CN"/>
        </w:rPr>
        <w:t>（姓名）</w:t>
      </w:r>
      <w:r>
        <w:rPr>
          <w:rFonts w:hint="eastAsia" w:ascii="宋体" w:eastAsia="宋体"/>
          <w:color w:val="auto"/>
          <w:sz w:val="21"/>
          <w:szCs w:val="21"/>
          <w:highlight w:val="none"/>
          <w:lang w:eastAsia="zh-CN"/>
        </w:rPr>
        <w:t>作为本项目的项目负责人。同时承诺如果中标，项目负责人及所有项目组成员保证及时服务到位，按招标人的要求提供服务，并按招标人要求处理服务过程中出现的技术问题，以确保服务进度和质量要求。</w:t>
      </w:r>
    </w:p>
    <w:p w14:paraId="47846A2F">
      <w:pPr>
        <w:pStyle w:val="42"/>
        <w:spacing w:line="440" w:lineRule="exact"/>
        <w:ind w:firstLine="420"/>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3、我方保证本项目所有成果文件质量均符合招标文件要求且达到</w:t>
      </w:r>
      <w:r>
        <w:rPr>
          <w:rFonts w:hint="eastAsia" w:ascii="宋体" w:eastAsia="宋体"/>
          <w:b/>
          <w:color w:val="auto"/>
          <w:sz w:val="21"/>
          <w:szCs w:val="21"/>
          <w:highlight w:val="none"/>
          <w:u w:val="single"/>
          <w:lang w:eastAsia="zh-CN"/>
        </w:rPr>
        <w:t>合格</w:t>
      </w:r>
      <w:r>
        <w:rPr>
          <w:rFonts w:hint="eastAsia" w:ascii="宋体" w:eastAsia="宋体"/>
          <w:color w:val="auto"/>
          <w:sz w:val="21"/>
          <w:szCs w:val="21"/>
          <w:highlight w:val="none"/>
          <w:lang w:eastAsia="zh-CN"/>
        </w:rPr>
        <w:t>标准、符合国家有关质量规范、标准的要求，确保通过行业行政主管部门的审批。</w:t>
      </w:r>
    </w:p>
    <w:p w14:paraId="658B6A92">
      <w:pPr>
        <w:spacing w:line="440" w:lineRule="exact"/>
        <w:ind w:firstLine="420" w:firstLineChars="200"/>
        <w:jc w:val="both"/>
        <w:rPr>
          <w:rFonts w:hint="eastAsia"/>
          <w:color w:val="auto"/>
          <w:kern w:val="2"/>
          <w:sz w:val="21"/>
          <w:szCs w:val="21"/>
          <w:highlight w:val="none"/>
          <w:lang w:eastAsia="zh-CN"/>
        </w:rPr>
      </w:pPr>
      <w:r>
        <w:rPr>
          <w:rFonts w:hint="eastAsia"/>
          <w:color w:val="auto"/>
          <w:sz w:val="21"/>
          <w:szCs w:val="21"/>
          <w:highlight w:val="none"/>
          <w:lang w:eastAsia="zh-CN"/>
        </w:rPr>
        <w:t>4、</w:t>
      </w:r>
      <w:r>
        <w:rPr>
          <w:rFonts w:hint="eastAsia"/>
          <w:color w:val="auto"/>
          <w:kern w:val="2"/>
          <w:sz w:val="21"/>
          <w:szCs w:val="21"/>
          <w:highlight w:val="none"/>
          <w:lang w:eastAsia="zh-CN"/>
        </w:rPr>
        <w:t>我方承诺在招标文件规定的投标有限期内不修改、撤销投标文件。</w:t>
      </w:r>
    </w:p>
    <w:p w14:paraId="3B5471D5">
      <w:pPr>
        <w:shd w:val="clear" w:color="auto" w:fill="FFFFFF"/>
        <w:spacing w:line="440" w:lineRule="exact"/>
        <w:ind w:firstLine="420"/>
        <w:rPr>
          <w:rFonts w:hint="eastAsia" w:cs="微软雅黑"/>
          <w:color w:val="auto"/>
          <w:kern w:val="2"/>
          <w:sz w:val="21"/>
          <w:szCs w:val="21"/>
          <w:highlight w:val="none"/>
          <w:lang w:eastAsia="zh-CN"/>
        </w:rPr>
      </w:pPr>
      <w:r>
        <w:rPr>
          <w:rFonts w:hint="eastAsia"/>
          <w:color w:val="auto"/>
          <w:kern w:val="2"/>
          <w:sz w:val="21"/>
          <w:szCs w:val="21"/>
          <w:highlight w:val="none"/>
          <w:lang w:eastAsia="zh-CN"/>
        </w:rPr>
        <w:t>5、</w:t>
      </w:r>
      <w:r>
        <w:rPr>
          <w:rFonts w:cs="微软雅黑"/>
          <w:color w:val="auto"/>
          <w:kern w:val="2"/>
          <w:sz w:val="21"/>
          <w:szCs w:val="21"/>
          <w:highlight w:val="none"/>
          <w:lang w:eastAsia="zh-CN"/>
        </w:rPr>
        <w:t>我方</w:t>
      </w:r>
      <w:r>
        <w:rPr>
          <w:rFonts w:hint="eastAsia" w:cs="微软雅黑"/>
          <w:b/>
          <w:bCs/>
          <w:color w:val="auto"/>
          <w:kern w:val="2"/>
          <w:sz w:val="21"/>
          <w:szCs w:val="21"/>
          <w:highlight w:val="none"/>
          <w:lang w:eastAsia="zh-CN"/>
        </w:rPr>
        <w:t>保证项</w:t>
      </w:r>
      <w:r>
        <w:rPr>
          <w:rFonts w:hint="eastAsia" w:cs="MS PGothic"/>
          <w:b/>
          <w:bCs/>
          <w:color w:val="auto"/>
          <w:kern w:val="2"/>
          <w:sz w:val="21"/>
          <w:szCs w:val="21"/>
          <w:highlight w:val="none"/>
          <w:lang w:eastAsia="zh-CN"/>
        </w:rPr>
        <w:t>目</w:t>
      </w:r>
      <w:r>
        <w:rPr>
          <w:rFonts w:hint="eastAsia" w:cs="微软雅黑"/>
          <w:b/>
          <w:bCs/>
          <w:color w:val="auto"/>
          <w:kern w:val="2"/>
          <w:sz w:val="21"/>
          <w:szCs w:val="21"/>
          <w:highlight w:val="none"/>
          <w:lang w:eastAsia="zh-CN"/>
        </w:rPr>
        <w:t>负责</w:t>
      </w:r>
      <w:r>
        <w:rPr>
          <w:rFonts w:hint="eastAsia" w:cs="MS PGothic"/>
          <w:b/>
          <w:bCs/>
          <w:color w:val="auto"/>
          <w:kern w:val="2"/>
          <w:sz w:val="21"/>
          <w:szCs w:val="21"/>
          <w:highlight w:val="none"/>
          <w:lang w:eastAsia="zh-CN"/>
        </w:rPr>
        <w:t>人及代理人</w:t>
      </w:r>
      <w:r>
        <w:rPr>
          <w:rFonts w:cs="微软雅黑"/>
          <w:b/>
          <w:bCs/>
          <w:color w:val="auto"/>
          <w:kern w:val="2"/>
          <w:sz w:val="21"/>
          <w:szCs w:val="21"/>
          <w:highlight w:val="none"/>
          <w:lang w:eastAsia="zh-CN"/>
        </w:rPr>
        <w:t>均为本单位的正式职工</w:t>
      </w:r>
      <w:r>
        <w:rPr>
          <w:rFonts w:hint="eastAsia" w:cs="微软雅黑"/>
          <w:b/>
          <w:bCs/>
          <w:color w:val="auto"/>
          <w:kern w:val="2"/>
          <w:sz w:val="21"/>
          <w:szCs w:val="21"/>
          <w:highlight w:val="none"/>
          <w:lang w:eastAsia="zh-CN"/>
        </w:rPr>
        <w:t>，并确保均已按本招标文件约定的要求在本单位缴纳养老保险。</w:t>
      </w:r>
      <w:r>
        <w:rPr>
          <w:rFonts w:cs="微软雅黑"/>
          <w:color w:val="auto"/>
          <w:kern w:val="2"/>
          <w:sz w:val="21"/>
          <w:szCs w:val="21"/>
          <w:highlight w:val="none"/>
          <w:lang w:eastAsia="zh-CN"/>
        </w:rPr>
        <w:t>如违反上述承诺，可视为我方存在弄虚作假行为，我方自愿放弃中标资格，并接受你方及行业主管部门的相关处罚。</w:t>
      </w:r>
    </w:p>
    <w:p w14:paraId="263563EB">
      <w:pPr>
        <w:spacing w:line="440" w:lineRule="exact"/>
        <w:ind w:firstLine="420" w:firstLineChars="200"/>
        <w:jc w:val="both"/>
        <w:rPr>
          <w:rFonts w:hint="eastAsia" w:cs="微软雅黑"/>
          <w:color w:val="auto"/>
          <w:kern w:val="2"/>
          <w:sz w:val="21"/>
          <w:szCs w:val="21"/>
          <w:highlight w:val="none"/>
          <w:lang w:eastAsia="zh-CN"/>
        </w:rPr>
      </w:pPr>
      <w:r>
        <w:rPr>
          <w:rFonts w:hint="eastAsia" w:cs="微软雅黑"/>
          <w:color w:val="auto"/>
          <w:kern w:val="2"/>
          <w:sz w:val="21"/>
          <w:szCs w:val="21"/>
          <w:highlight w:val="none"/>
          <w:lang w:eastAsia="zh-CN"/>
        </w:rPr>
        <w:t>我方保证在本次投标中无串通投标、弄虚作假等违法行为，如违反上述承诺，我方</w:t>
      </w:r>
      <w:r>
        <w:rPr>
          <w:rFonts w:cs="微软雅黑"/>
          <w:color w:val="auto"/>
          <w:kern w:val="2"/>
          <w:sz w:val="21"/>
          <w:szCs w:val="21"/>
          <w:highlight w:val="none"/>
          <w:lang w:eastAsia="zh-CN"/>
        </w:rPr>
        <w:t>自愿放弃中标资格，并接受你方及行业主管部门的相关处罚</w:t>
      </w:r>
      <w:r>
        <w:rPr>
          <w:rFonts w:hint="eastAsia" w:cs="微软雅黑"/>
          <w:color w:val="auto"/>
          <w:kern w:val="2"/>
          <w:sz w:val="21"/>
          <w:szCs w:val="21"/>
          <w:highlight w:val="none"/>
          <w:lang w:eastAsia="zh-CN"/>
        </w:rPr>
        <w:t>。</w:t>
      </w:r>
    </w:p>
    <w:p w14:paraId="245BB321">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5、如我方中标：</w:t>
      </w:r>
    </w:p>
    <w:p w14:paraId="7E59C15E">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（1）我方承诺在收到中标通知书后，在中标通知书规定的期限内与你方签订合同。</w:t>
      </w:r>
    </w:p>
    <w:p w14:paraId="45425F27">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（2）我方承诺按照招标文件规定向你方递交履约保证金。</w:t>
      </w:r>
    </w:p>
    <w:p w14:paraId="36580CC9">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（3）我方将严格履行本投标文件中的全部承诺和责任，并遵守招标文件中对投标人的所有规定。</w:t>
      </w:r>
    </w:p>
    <w:p w14:paraId="6CAE00BB">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6、我方在此声明，所递交的投标文件及有关资料内容完整、真实和准确，且不存在第二章“投标人须知”第1.4.3项规定的任何一种情形。</w:t>
      </w:r>
    </w:p>
    <w:p w14:paraId="7AE6FB8A">
      <w:pPr>
        <w:spacing w:line="440" w:lineRule="exact"/>
        <w:ind w:firstLine="420" w:firstLineChars="200"/>
        <w:jc w:val="both"/>
        <w:rPr>
          <w:rFonts w:hint="eastAsia"/>
          <w:color w:val="auto"/>
          <w:sz w:val="21"/>
          <w:szCs w:val="21"/>
          <w:highlight w:val="none"/>
          <w:lang w:eastAsia="zh-CN"/>
        </w:rPr>
      </w:pPr>
      <w:r>
        <w:rPr>
          <w:rFonts w:hint="eastAsia"/>
          <w:color w:val="auto"/>
          <w:kern w:val="2"/>
          <w:sz w:val="21"/>
          <w:szCs w:val="21"/>
          <w:highlight w:val="none"/>
          <w:lang w:eastAsia="zh-CN"/>
        </w:rPr>
        <w:t xml:space="preserve">7、 </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（按招标文件要求作出的其他承诺或其他补充说明）。</w:t>
      </w:r>
      <w:r>
        <w:rPr>
          <w:rFonts w:hint="eastAsia"/>
          <w:color w:val="auto"/>
          <w:sz w:val="21"/>
          <w:szCs w:val="21"/>
          <w:highlight w:val="none"/>
          <w:lang w:eastAsia="zh-CN"/>
        </w:rPr>
        <w:t xml:space="preserve"> </w:t>
      </w:r>
    </w:p>
    <w:p w14:paraId="4696739F">
      <w:pPr>
        <w:spacing w:line="440" w:lineRule="exact"/>
        <w:ind w:firstLine="420" w:firstLineChars="200"/>
        <w:jc w:val="both"/>
        <w:rPr>
          <w:rFonts w:hint="eastAsia"/>
          <w:color w:val="auto"/>
          <w:kern w:val="2"/>
          <w:sz w:val="21"/>
          <w:szCs w:val="21"/>
          <w:highlight w:val="none"/>
          <w:lang w:eastAsia="zh-CN"/>
        </w:rPr>
      </w:pPr>
      <w:r>
        <w:rPr>
          <w:rFonts w:hint="eastAsia"/>
          <w:color w:val="auto"/>
          <w:kern w:val="2"/>
          <w:sz w:val="21"/>
          <w:szCs w:val="21"/>
          <w:highlight w:val="none"/>
          <w:lang w:eastAsia="zh-CN"/>
        </w:rPr>
        <w:t>投标人（公章）：</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 xml:space="preserve"> </w:t>
      </w:r>
    </w:p>
    <w:p w14:paraId="19CB6C6B">
      <w:pPr>
        <w:spacing w:line="440" w:lineRule="exact"/>
        <w:ind w:firstLine="420" w:firstLineChars="200"/>
        <w:jc w:val="both"/>
        <w:rPr>
          <w:rFonts w:hint="eastAsia"/>
          <w:color w:val="auto"/>
          <w:kern w:val="2"/>
          <w:sz w:val="21"/>
          <w:szCs w:val="21"/>
          <w:highlight w:val="none"/>
          <w:u w:val="single"/>
          <w:lang w:eastAsia="zh-CN"/>
        </w:rPr>
      </w:pPr>
      <w:r>
        <w:rPr>
          <w:rFonts w:hint="eastAsia"/>
          <w:color w:val="auto"/>
          <w:kern w:val="2"/>
          <w:sz w:val="21"/>
          <w:szCs w:val="21"/>
          <w:highlight w:val="none"/>
          <w:lang w:eastAsia="zh-CN"/>
        </w:rPr>
        <w:t>法定代表人</w:t>
      </w:r>
      <w:r>
        <w:rPr>
          <w:rFonts w:hint="eastAsia"/>
          <w:b w:val="0"/>
          <w:bCs w:val="0"/>
          <w:color w:val="auto"/>
          <w:kern w:val="2"/>
          <w:sz w:val="21"/>
          <w:szCs w:val="21"/>
          <w:highlight w:val="none"/>
          <w:lang w:eastAsia="zh-CN"/>
        </w:rPr>
        <w:t>（</w:t>
      </w:r>
      <w:r>
        <w:rPr>
          <w:rFonts w:hint="eastAsia"/>
          <w:color w:val="auto"/>
          <w:kern w:val="2"/>
          <w:sz w:val="21"/>
          <w:szCs w:val="21"/>
          <w:highlight w:val="none"/>
          <w:lang w:val="en-US" w:eastAsia="zh-CN"/>
        </w:rPr>
        <w:t>执行事务</w:t>
      </w:r>
      <w:r>
        <w:rPr>
          <w:rFonts w:hint="eastAsia"/>
          <w:b w:val="0"/>
          <w:bCs w:val="0"/>
          <w:color w:val="auto"/>
          <w:sz w:val="21"/>
          <w:szCs w:val="21"/>
          <w:highlight w:val="none"/>
          <w:lang w:eastAsia="zh-CN"/>
        </w:rPr>
        <w:t>合伙人）</w:t>
      </w:r>
      <w:r>
        <w:rPr>
          <w:rFonts w:hint="eastAsia"/>
          <w:color w:val="auto"/>
          <w:kern w:val="2"/>
          <w:sz w:val="21"/>
          <w:szCs w:val="21"/>
          <w:highlight w:val="none"/>
          <w:lang w:eastAsia="zh-CN"/>
        </w:rPr>
        <w:t>或委托代理人（签字或印章）：</w:t>
      </w:r>
      <w:r>
        <w:rPr>
          <w:rFonts w:hint="eastAsia"/>
          <w:color w:val="auto"/>
          <w:kern w:val="2"/>
          <w:sz w:val="21"/>
          <w:szCs w:val="21"/>
          <w:highlight w:val="none"/>
          <w:u w:val="single"/>
          <w:lang w:eastAsia="zh-CN"/>
        </w:rPr>
        <w:t xml:space="preserve">               </w:t>
      </w:r>
    </w:p>
    <w:p w14:paraId="693492C3">
      <w:pPr>
        <w:spacing w:line="440" w:lineRule="exact"/>
        <w:ind w:firstLine="420" w:firstLineChars="200"/>
        <w:jc w:val="both"/>
        <w:rPr>
          <w:rFonts w:hint="default"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lang w:val="en-US" w:eastAsia="zh-CN"/>
        </w:rPr>
        <w:t>联系人及电话：</w:t>
      </w:r>
      <w:r>
        <w:rPr>
          <w:rFonts w:hint="eastAsia" w:ascii="宋体" w:hAnsi="宋体" w:eastAsia="宋体" w:cs="宋体"/>
          <w:color w:val="auto"/>
          <w:kern w:val="2"/>
          <w:sz w:val="21"/>
          <w:szCs w:val="21"/>
          <w:highlight w:val="none"/>
          <w:u w:val="single"/>
          <w:lang w:val="en-US" w:eastAsia="zh-CN"/>
        </w:rPr>
        <w:t xml:space="preserve">                            </w:t>
      </w:r>
    </w:p>
    <w:p w14:paraId="04F5D159">
      <w:pPr>
        <w:spacing w:line="440" w:lineRule="exact"/>
        <w:ind w:firstLine="420" w:firstLineChars="200"/>
        <w:rPr>
          <w:rFonts w:hint="eastAsia"/>
          <w:b/>
          <w:color w:val="auto"/>
          <w:sz w:val="21"/>
          <w:szCs w:val="21"/>
          <w:highlight w:val="none"/>
          <w:lang w:eastAsia="zh-CN"/>
        </w:rPr>
      </w:pPr>
      <w:r>
        <w:rPr>
          <w:rFonts w:hint="eastAsia"/>
          <w:color w:val="auto"/>
          <w:kern w:val="2"/>
          <w:sz w:val="21"/>
          <w:szCs w:val="21"/>
          <w:highlight w:val="none"/>
          <w:lang w:eastAsia="zh-CN"/>
        </w:rPr>
        <w:t xml:space="preserve">日 期： </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年</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月</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日</w:t>
      </w:r>
    </w:p>
    <w:p w14:paraId="13AB84CD">
      <w:pPr>
        <w:widowControl/>
        <w:spacing w:before="240" w:after="240"/>
        <w:outlineLvl w:val="1"/>
        <w:rPr>
          <w:rFonts w:hint="eastAsia"/>
          <w:b/>
          <w:color w:val="auto"/>
          <w:sz w:val="32"/>
          <w:szCs w:val="24"/>
          <w:highlight w:val="none"/>
          <w:lang w:eastAsia="zh-CN"/>
        </w:rPr>
      </w:pPr>
      <w:bookmarkStart w:id="155" w:name="_Toc9101"/>
      <w:r>
        <w:rPr>
          <w:rFonts w:hint="eastAsia"/>
          <w:b/>
          <w:color w:val="auto"/>
          <w:sz w:val="32"/>
          <w:szCs w:val="24"/>
          <w:highlight w:val="none"/>
          <w:lang w:val="en-US" w:eastAsia="zh-CN"/>
        </w:rPr>
        <w:t>四</w:t>
      </w:r>
      <w:r>
        <w:rPr>
          <w:rFonts w:hint="eastAsia"/>
          <w:b/>
          <w:color w:val="auto"/>
          <w:sz w:val="32"/>
          <w:szCs w:val="24"/>
          <w:highlight w:val="none"/>
          <w:lang w:eastAsia="zh-CN"/>
        </w:rPr>
        <w:t>、资格审查资料</w:t>
      </w:r>
      <w:bookmarkEnd w:id="155"/>
    </w:p>
    <w:p w14:paraId="2105B0EB">
      <w:pPr>
        <w:spacing w:before="240" w:after="240"/>
        <w:ind w:firstLine="440" w:firstLineChars="200"/>
        <w:rPr>
          <w:rFonts w:hint="eastAsia"/>
          <w:color w:val="auto"/>
          <w:szCs w:val="24"/>
          <w:highlight w:val="none"/>
          <w:lang w:eastAsia="zh-CN"/>
        </w:rPr>
      </w:pPr>
      <w:r>
        <w:rPr>
          <w:rFonts w:hint="eastAsia"/>
          <w:color w:val="auto"/>
          <w:szCs w:val="24"/>
          <w:highlight w:val="none"/>
          <w:lang w:eastAsia="zh-CN"/>
        </w:rPr>
        <w:t>详见招标文件第二章3.1款。</w:t>
      </w:r>
      <w:r>
        <w:rPr>
          <w:rFonts w:hint="eastAsia"/>
          <w:color w:val="auto"/>
          <w:szCs w:val="24"/>
          <w:highlight w:val="none"/>
          <w:lang w:eastAsia="zh-CN"/>
        </w:rPr>
        <w:br w:type="page"/>
      </w:r>
    </w:p>
    <w:p w14:paraId="7255407A">
      <w:pPr>
        <w:widowControl/>
        <w:spacing w:before="240" w:after="240"/>
        <w:outlineLvl w:val="1"/>
        <w:rPr>
          <w:rFonts w:hint="eastAsia"/>
          <w:b/>
          <w:color w:val="auto"/>
          <w:sz w:val="32"/>
          <w:szCs w:val="24"/>
          <w:highlight w:val="none"/>
          <w:lang w:eastAsia="zh-CN"/>
        </w:rPr>
      </w:pPr>
      <w:bookmarkStart w:id="156" w:name="_Toc28331"/>
      <w:r>
        <w:rPr>
          <w:rFonts w:hint="eastAsia"/>
          <w:b/>
          <w:color w:val="auto"/>
          <w:sz w:val="32"/>
          <w:szCs w:val="24"/>
          <w:highlight w:val="none"/>
          <w:lang w:val="en-US" w:eastAsia="zh-CN"/>
        </w:rPr>
        <w:t>五</w:t>
      </w:r>
      <w:r>
        <w:rPr>
          <w:rFonts w:hint="eastAsia"/>
          <w:b/>
          <w:color w:val="auto"/>
          <w:sz w:val="32"/>
          <w:szCs w:val="24"/>
          <w:highlight w:val="none"/>
          <w:lang w:eastAsia="zh-CN"/>
        </w:rPr>
        <w:t>、招标文件规定须提供的以及投标人认为必要的其他文件</w:t>
      </w:r>
      <w:bookmarkEnd w:id="156"/>
    </w:p>
    <w:p w14:paraId="5F56E825">
      <w:pPr>
        <w:tabs>
          <w:tab w:val="left" w:pos="5665"/>
          <w:tab w:val="right" w:pos="8360"/>
        </w:tabs>
        <w:spacing w:before="240" w:after="240" w:line="360" w:lineRule="auto"/>
        <w:ind w:right="42" w:firstLine="3780" w:firstLineChars="1350"/>
        <w:jc w:val="both"/>
        <w:rPr>
          <w:rFonts w:hint="eastAsia"/>
          <w:color w:val="auto"/>
          <w:kern w:val="2"/>
          <w:sz w:val="28"/>
          <w:highlight w:val="none"/>
          <w:lang w:eastAsia="zh-CN"/>
        </w:rPr>
      </w:pPr>
    </w:p>
    <w:p w14:paraId="26FD6863">
      <w:pPr>
        <w:spacing w:before="240" w:after="240"/>
        <w:jc w:val="both"/>
        <w:rPr>
          <w:rFonts w:hint="eastAsia"/>
          <w:color w:val="auto"/>
          <w:kern w:val="2"/>
          <w:sz w:val="21"/>
          <w:highlight w:val="none"/>
          <w:lang w:eastAsia="zh-CN"/>
        </w:rPr>
      </w:pPr>
    </w:p>
    <w:p w14:paraId="278E1428">
      <w:pPr>
        <w:spacing w:before="240" w:after="240" w:line="460" w:lineRule="exact"/>
        <w:rPr>
          <w:rFonts w:hint="eastAsia"/>
          <w:b/>
          <w:bCs/>
          <w:color w:val="auto"/>
          <w:sz w:val="24"/>
          <w:highlight w:val="none"/>
          <w:lang w:eastAsia="zh-CN"/>
        </w:rPr>
      </w:pPr>
    </w:p>
    <w:p w14:paraId="27D3CFDB">
      <w:pPr>
        <w:spacing w:before="240" w:after="240" w:line="460" w:lineRule="exact"/>
        <w:rPr>
          <w:rFonts w:hint="eastAsia"/>
          <w:b/>
          <w:bCs/>
          <w:color w:val="auto"/>
          <w:sz w:val="24"/>
          <w:highlight w:val="none"/>
          <w:lang w:eastAsia="zh-CN"/>
        </w:rPr>
      </w:pPr>
    </w:p>
    <w:p w14:paraId="0250F45E">
      <w:pPr>
        <w:spacing w:before="240" w:after="240" w:line="460" w:lineRule="exact"/>
        <w:rPr>
          <w:rFonts w:hint="eastAsia"/>
          <w:b/>
          <w:bCs/>
          <w:color w:val="auto"/>
          <w:sz w:val="24"/>
          <w:highlight w:val="none"/>
          <w:lang w:eastAsia="zh-CN"/>
        </w:rPr>
      </w:pPr>
    </w:p>
    <w:p w14:paraId="485C3EE2">
      <w:pPr>
        <w:pStyle w:val="42"/>
        <w:spacing w:before="240" w:after="240"/>
        <w:ind w:firstLine="600"/>
        <w:rPr>
          <w:rFonts w:hint="eastAsia" w:ascii="宋体" w:eastAsia="宋体"/>
          <w:color w:val="auto"/>
          <w:highlight w:val="none"/>
          <w:lang w:eastAsia="zh-CN"/>
        </w:rPr>
      </w:pPr>
    </w:p>
    <w:p w14:paraId="4BC2463F">
      <w:pPr>
        <w:pStyle w:val="42"/>
        <w:spacing w:before="240" w:after="240"/>
        <w:ind w:firstLine="600"/>
        <w:rPr>
          <w:rFonts w:hint="eastAsia" w:ascii="宋体" w:eastAsia="宋体"/>
          <w:color w:val="auto"/>
          <w:highlight w:val="none"/>
          <w:lang w:eastAsia="zh-CN"/>
        </w:rPr>
      </w:pPr>
    </w:p>
    <w:p w14:paraId="2C629934">
      <w:pPr>
        <w:pStyle w:val="42"/>
        <w:spacing w:before="240" w:after="240"/>
        <w:ind w:firstLine="600"/>
        <w:rPr>
          <w:rFonts w:hint="eastAsia" w:ascii="宋体" w:eastAsia="宋体"/>
          <w:color w:val="auto"/>
          <w:highlight w:val="none"/>
          <w:lang w:eastAsia="zh-CN"/>
        </w:rPr>
      </w:pPr>
    </w:p>
    <w:p w14:paraId="4115C48F">
      <w:pPr>
        <w:pStyle w:val="42"/>
        <w:spacing w:before="240" w:after="240"/>
        <w:ind w:firstLine="600"/>
        <w:rPr>
          <w:rFonts w:hint="eastAsia" w:ascii="宋体" w:eastAsia="宋体"/>
          <w:color w:val="auto"/>
          <w:highlight w:val="none"/>
          <w:lang w:eastAsia="zh-CN"/>
        </w:rPr>
      </w:pPr>
    </w:p>
    <w:p w14:paraId="4EF3032C">
      <w:pPr>
        <w:pStyle w:val="42"/>
        <w:spacing w:before="240" w:after="240"/>
        <w:ind w:firstLine="600"/>
        <w:rPr>
          <w:rFonts w:hint="eastAsia" w:ascii="宋体" w:eastAsia="宋体"/>
          <w:color w:val="auto"/>
          <w:highlight w:val="none"/>
          <w:lang w:eastAsia="zh-CN"/>
        </w:rPr>
      </w:pPr>
    </w:p>
    <w:p w14:paraId="3ACA86EA">
      <w:pPr>
        <w:pStyle w:val="42"/>
        <w:spacing w:before="240" w:after="240"/>
        <w:ind w:firstLine="600"/>
        <w:rPr>
          <w:rFonts w:hint="eastAsia" w:ascii="宋体" w:eastAsia="宋体"/>
          <w:color w:val="auto"/>
          <w:highlight w:val="none"/>
          <w:lang w:eastAsia="zh-CN"/>
        </w:rPr>
      </w:pPr>
    </w:p>
    <w:p w14:paraId="472C0934">
      <w:pPr>
        <w:pStyle w:val="42"/>
        <w:spacing w:before="240" w:after="240"/>
        <w:ind w:firstLine="600"/>
        <w:rPr>
          <w:rFonts w:hint="eastAsia" w:ascii="宋体" w:eastAsia="宋体"/>
          <w:color w:val="auto"/>
          <w:highlight w:val="none"/>
          <w:lang w:eastAsia="zh-CN"/>
        </w:rPr>
      </w:pPr>
    </w:p>
    <w:p w14:paraId="68F002AF">
      <w:pPr>
        <w:pStyle w:val="42"/>
        <w:spacing w:before="240" w:after="240"/>
        <w:ind w:firstLine="600"/>
        <w:rPr>
          <w:rFonts w:hint="eastAsia" w:ascii="宋体" w:eastAsia="宋体"/>
          <w:color w:val="auto"/>
          <w:highlight w:val="none"/>
          <w:lang w:eastAsia="zh-CN"/>
        </w:rPr>
      </w:pPr>
    </w:p>
    <w:p w14:paraId="60DB7F32">
      <w:pPr>
        <w:pStyle w:val="42"/>
        <w:spacing w:before="240" w:after="240"/>
        <w:ind w:firstLine="600"/>
        <w:rPr>
          <w:rFonts w:hint="eastAsia" w:ascii="宋体" w:eastAsia="宋体"/>
          <w:color w:val="auto"/>
          <w:highlight w:val="none"/>
          <w:lang w:eastAsia="zh-CN"/>
        </w:rPr>
      </w:pPr>
    </w:p>
    <w:p w14:paraId="4FC200B1">
      <w:pPr>
        <w:pStyle w:val="42"/>
        <w:spacing w:before="240" w:after="240"/>
        <w:ind w:firstLine="600"/>
        <w:rPr>
          <w:rFonts w:hint="eastAsia" w:ascii="宋体" w:eastAsia="宋体"/>
          <w:color w:val="auto"/>
          <w:highlight w:val="none"/>
          <w:lang w:eastAsia="zh-CN"/>
        </w:rPr>
      </w:pPr>
    </w:p>
    <w:p w14:paraId="5ECE8C1C">
      <w:pPr>
        <w:pStyle w:val="42"/>
        <w:spacing w:before="240" w:after="240"/>
        <w:ind w:firstLine="600"/>
        <w:rPr>
          <w:rFonts w:hint="eastAsia" w:ascii="宋体" w:eastAsia="宋体"/>
          <w:color w:val="auto"/>
          <w:highlight w:val="none"/>
          <w:lang w:eastAsia="zh-CN"/>
        </w:rPr>
      </w:pPr>
    </w:p>
    <w:p w14:paraId="17890CFB">
      <w:pPr>
        <w:pStyle w:val="42"/>
        <w:spacing w:before="240" w:after="240"/>
        <w:ind w:firstLine="600"/>
        <w:rPr>
          <w:rFonts w:hint="eastAsia" w:ascii="宋体" w:eastAsia="宋体"/>
          <w:color w:val="auto"/>
          <w:highlight w:val="none"/>
          <w:lang w:eastAsia="zh-CN"/>
        </w:rPr>
      </w:pPr>
    </w:p>
    <w:sectPr>
      <w:pgSz w:w="11906" w:h="16838"/>
      <w:pgMar w:top="1361" w:right="1326" w:bottom="1247" w:left="1560" w:header="0"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5DF8">
    <w:pPr>
      <w:pStyle w:val="17"/>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630647"/>
    </w:sdtPr>
    <w:sdtContent>
      <w:p w14:paraId="1B14A2B5">
        <w:pPr>
          <w:pStyle w:val="29"/>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F3D2">
    <w:pPr>
      <w:pStyle w:val="3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A0C2C"/>
    <w:multiLevelType w:val="singleLevel"/>
    <w:tmpl w:val="F4BA0C2C"/>
    <w:lvl w:ilvl="0" w:tentative="0">
      <w:start w:val="6"/>
      <w:numFmt w:val="decimal"/>
      <w:suff w:val="nothing"/>
      <w:lvlText w:val="%1、"/>
      <w:lvlJc w:val="left"/>
    </w:lvl>
  </w:abstractNum>
  <w:abstractNum w:abstractNumId="1">
    <w:nsid w:val="65C9351C"/>
    <w:multiLevelType w:val="singleLevel"/>
    <w:tmpl w:val="65C9351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OGUzMjIxNmQ4YTZkMzE4MWNjN2JhNjI2ZWVmYTIifQ=="/>
  </w:docVars>
  <w:rsids>
    <w:rsidRoot w:val="00053279"/>
    <w:rsid w:val="00000CEF"/>
    <w:rsid w:val="0000753D"/>
    <w:rsid w:val="000129F5"/>
    <w:rsid w:val="00041EC8"/>
    <w:rsid w:val="00046E5C"/>
    <w:rsid w:val="00047041"/>
    <w:rsid w:val="00051264"/>
    <w:rsid w:val="00053279"/>
    <w:rsid w:val="000570B0"/>
    <w:rsid w:val="00090F18"/>
    <w:rsid w:val="00095874"/>
    <w:rsid w:val="000A2DBE"/>
    <w:rsid w:val="000A5625"/>
    <w:rsid w:val="000E0728"/>
    <w:rsid w:val="000F5FEB"/>
    <w:rsid w:val="000F63E2"/>
    <w:rsid w:val="0014241B"/>
    <w:rsid w:val="00146DD1"/>
    <w:rsid w:val="00165570"/>
    <w:rsid w:val="00181D77"/>
    <w:rsid w:val="00187096"/>
    <w:rsid w:val="00187671"/>
    <w:rsid w:val="001918A4"/>
    <w:rsid w:val="001D151D"/>
    <w:rsid w:val="001D2D66"/>
    <w:rsid w:val="001E43CD"/>
    <w:rsid w:val="00221743"/>
    <w:rsid w:val="00222F27"/>
    <w:rsid w:val="0023412F"/>
    <w:rsid w:val="00236C12"/>
    <w:rsid w:val="00247C5A"/>
    <w:rsid w:val="0025375B"/>
    <w:rsid w:val="00262757"/>
    <w:rsid w:val="0026354B"/>
    <w:rsid w:val="002644AD"/>
    <w:rsid w:val="0028676A"/>
    <w:rsid w:val="002A35CD"/>
    <w:rsid w:val="002C6E79"/>
    <w:rsid w:val="002D4C1A"/>
    <w:rsid w:val="0030649D"/>
    <w:rsid w:val="003577FE"/>
    <w:rsid w:val="00371018"/>
    <w:rsid w:val="00387394"/>
    <w:rsid w:val="003E5144"/>
    <w:rsid w:val="00402D3F"/>
    <w:rsid w:val="00417EF4"/>
    <w:rsid w:val="00433D9A"/>
    <w:rsid w:val="0045041D"/>
    <w:rsid w:val="0046378C"/>
    <w:rsid w:val="004A44B1"/>
    <w:rsid w:val="004A5C56"/>
    <w:rsid w:val="004B0452"/>
    <w:rsid w:val="004D5BF0"/>
    <w:rsid w:val="004D69E5"/>
    <w:rsid w:val="005006CF"/>
    <w:rsid w:val="00525313"/>
    <w:rsid w:val="00527F84"/>
    <w:rsid w:val="00530D13"/>
    <w:rsid w:val="00542223"/>
    <w:rsid w:val="00546BBC"/>
    <w:rsid w:val="005500F0"/>
    <w:rsid w:val="005549B0"/>
    <w:rsid w:val="00573CD5"/>
    <w:rsid w:val="00585B8A"/>
    <w:rsid w:val="00595FC7"/>
    <w:rsid w:val="00597BDC"/>
    <w:rsid w:val="005A6F1C"/>
    <w:rsid w:val="005C403E"/>
    <w:rsid w:val="005C4DE8"/>
    <w:rsid w:val="005E6FAF"/>
    <w:rsid w:val="006310E8"/>
    <w:rsid w:val="00641AEF"/>
    <w:rsid w:val="00654FE2"/>
    <w:rsid w:val="00666D0B"/>
    <w:rsid w:val="006807C7"/>
    <w:rsid w:val="0069390A"/>
    <w:rsid w:val="00696D60"/>
    <w:rsid w:val="00710AEA"/>
    <w:rsid w:val="007145E5"/>
    <w:rsid w:val="0072411A"/>
    <w:rsid w:val="00733A04"/>
    <w:rsid w:val="00737106"/>
    <w:rsid w:val="00751F34"/>
    <w:rsid w:val="00792CFB"/>
    <w:rsid w:val="007C19DE"/>
    <w:rsid w:val="007D47C3"/>
    <w:rsid w:val="00827B96"/>
    <w:rsid w:val="0083301A"/>
    <w:rsid w:val="00872E24"/>
    <w:rsid w:val="00874B3F"/>
    <w:rsid w:val="00884E65"/>
    <w:rsid w:val="00897EBC"/>
    <w:rsid w:val="008A0EC3"/>
    <w:rsid w:val="008C3796"/>
    <w:rsid w:val="008C49E6"/>
    <w:rsid w:val="008E4F99"/>
    <w:rsid w:val="009049D8"/>
    <w:rsid w:val="00906703"/>
    <w:rsid w:val="00933344"/>
    <w:rsid w:val="009345ED"/>
    <w:rsid w:val="00967219"/>
    <w:rsid w:val="009867A9"/>
    <w:rsid w:val="009B51C0"/>
    <w:rsid w:val="009C090E"/>
    <w:rsid w:val="00A024BF"/>
    <w:rsid w:val="00A04B43"/>
    <w:rsid w:val="00A04DEA"/>
    <w:rsid w:val="00A07564"/>
    <w:rsid w:val="00A4266E"/>
    <w:rsid w:val="00A63232"/>
    <w:rsid w:val="00A73B09"/>
    <w:rsid w:val="00A80825"/>
    <w:rsid w:val="00A87538"/>
    <w:rsid w:val="00AA3729"/>
    <w:rsid w:val="00AA6D06"/>
    <w:rsid w:val="00AA7C26"/>
    <w:rsid w:val="00AE1589"/>
    <w:rsid w:val="00AE1D6C"/>
    <w:rsid w:val="00B011FA"/>
    <w:rsid w:val="00B074F1"/>
    <w:rsid w:val="00B12D0F"/>
    <w:rsid w:val="00B34C82"/>
    <w:rsid w:val="00B40EE9"/>
    <w:rsid w:val="00B87000"/>
    <w:rsid w:val="00B92747"/>
    <w:rsid w:val="00B9343E"/>
    <w:rsid w:val="00B940B3"/>
    <w:rsid w:val="00BB6414"/>
    <w:rsid w:val="00BB6DA4"/>
    <w:rsid w:val="00BD2F08"/>
    <w:rsid w:val="00BF41DB"/>
    <w:rsid w:val="00BF64D0"/>
    <w:rsid w:val="00C07354"/>
    <w:rsid w:val="00C10F01"/>
    <w:rsid w:val="00C64B78"/>
    <w:rsid w:val="00CB29C0"/>
    <w:rsid w:val="00CB3074"/>
    <w:rsid w:val="00CD196C"/>
    <w:rsid w:val="00CD2EA6"/>
    <w:rsid w:val="00CF40DD"/>
    <w:rsid w:val="00CF551C"/>
    <w:rsid w:val="00D15F94"/>
    <w:rsid w:val="00D214BC"/>
    <w:rsid w:val="00D80412"/>
    <w:rsid w:val="00D81A87"/>
    <w:rsid w:val="00D93D9F"/>
    <w:rsid w:val="00DA1BB3"/>
    <w:rsid w:val="00DA3AC5"/>
    <w:rsid w:val="00DC23FF"/>
    <w:rsid w:val="00DC2496"/>
    <w:rsid w:val="00DD0427"/>
    <w:rsid w:val="00DD3308"/>
    <w:rsid w:val="00DD3CEE"/>
    <w:rsid w:val="00DD6B4D"/>
    <w:rsid w:val="00DE3521"/>
    <w:rsid w:val="00DE6CF9"/>
    <w:rsid w:val="00E26F68"/>
    <w:rsid w:val="00E31C01"/>
    <w:rsid w:val="00E5697A"/>
    <w:rsid w:val="00E57E59"/>
    <w:rsid w:val="00E6773F"/>
    <w:rsid w:val="00E7411B"/>
    <w:rsid w:val="00E751CC"/>
    <w:rsid w:val="00E85F46"/>
    <w:rsid w:val="00E95B4D"/>
    <w:rsid w:val="00EA7211"/>
    <w:rsid w:val="00EB39E7"/>
    <w:rsid w:val="00EB40B0"/>
    <w:rsid w:val="00EC1DA8"/>
    <w:rsid w:val="00ED3902"/>
    <w:rsid w:val="00EE3414"/>
    <w:rsid w:val="00F16C6F"/>
    <w:rsid w:val="00F526C9"/>
    <w:rsid w:val="00F56A0E"/>
    <w:rsid w:val="00F56A25"/>
    <w:rsid w:val="00F5787F"/>
    <w:rsid w:val="00F63F68"/>
    <w:rsid w:val="00FA6F70"/>
    <w:rsid w:val="00FB00C8"/>
    <w:rsid w:val="00FC0A90"/>
    <w:rsid w:val="00FE4580"/>
    <w:rsid w:val="00FF16D0"/>
    <w:rsid w:val="00FF3D95"/>
    <w:rsid w:val="01066A48"/>
    <w:rsid w:val="010B22B0"/>
    <w:rsid w:val="012A6BDB"/>
    <w:rsid w:val="01791910"/>
    <w:rsid w:val="017B11E4"/>
    <w:rsid w:val="01916C5A"/>
    <w:rsid w:val="01CC7C92"/>
    <w:rsid w:val="01D31020"/>
    <w:rsid w:val="01E46D89"/>
    <w:rsid w:val="0204742C"/>
    <w:rsid w:val="027619AC"/>
    <w:rsid w:val="02DE0E3A"/>
    <w:rsid w:val="03062D2F"/>
    <w:rsid w:val="0334789D"/>
    <w:rsid w:val="03667C72"/>
    <w:rsid w:val="04387860"/>
    <w:rsid w:val="04583A5F"/>
    <w:rsid w:val="04737E25"/>
    <w:rsid w:val="049525BD"/>
    <w:rsid w:val="04B862AB"/>
    <w:rsid w:val="04ED23F9"/>
    <w:rsid w:val="055A55B4"/>
    <w:rsid w:val="057743B8"/>
    <w:rsid w:val="057C552B"/>
    <w:rsid w:val="05B76009"/>
    <w:rsid w:val="05D62E8D"/>
    <w:rsid w:val="05F94DCD"/>
    <w:rsid w:val="05FB28F4"/>
    <w:rsid w:val="066E1317"/>
    <w:rsid w:val="0673692E"/>
    <w:rsid w:val="068330F5"/>
    <w:rsid w:val="06B331CE"/>
    <w:rsid w:val="06DB70DC"/>
    <w:rsid w:val="06DD024B"/>
    <w:rsid w:val="073360BD"/>
    <w:rsid w:val="074E3773"/>
    <w:rsid w:val="075E138C"/>
    <w:rsid w:val="07B33862"/>
    <w:rsid w:val="084C38DA"/>
    <w:rsid w:val="08534FC3"/>
    <w:rsid w:val="087B5F6E"/>
    <w:rsid w:val="08B35707"/>
    <w:rsid w:val="08BD6586"/>
    <w:rsid w:val="08E314A9"/>
    <w:rsid w:val="08E95756"/>
    <w:rsid w:val="096B206E"/>
    <w:rsid w:val="097A6F04"/>
    <w:rsid w:val="09CD18FD"/>
    <w:rsid w:val="09E71B0D"/>
    <w:rsid w:val="09F91840"/>
    <w:rsid w:val="0A12582B"/>
    <w:rsid w:val="0A3400C5"/>
    <w:rsid w:val="0A4A3E4A"/>
    <w:rsid w:val="0A634F0B"/>
    <w:rsid w:val="0A726EFC"/>
    <w:rsid w:val="0A8455AD"/>
    <w:rsid w:val="0A9D666F"/>
    <w:rsid w:val="0ABF0394"/>
    <w:rsid w:val="0ACE279A"/>
    <w:rsid w:val="0B354AFA"/>
    <w:rsid w:val="0B4E1717"/>
    <w:rsid w:val="0B6902FF"/>
    <w:rsid w:val="0BAC4836"/>
    <w:rsid w:val="0BC56862"/>
    <w:rsid w:val="0BCB720C"/>
    <w:rsid w:val="0BE34FC5"/>
    <w:rsid w:val="0C204F53"/>
    <w:rsid w:val="0C5373E2"/>
    <w:rsid w:val="0CD25457"/>
    <w:rsid w:val="0CFA1B57"/>
    <w:rsid w:val="0E0D7180"/>
    <w:rsid w:val="0E1F06EC"/>
    <w:rsid w:val="0E8042DE"/>
    <w:rsid w:val="0EA0672E"/>
    <w:rsid w:val="0EC56195"/>
    <w:rsid w:val="0ECB5DC3"/>
    <w:rsid w:val="0EDB1514"/>
    <w:rsid w:val="0EE77EB9"/>
    <w:rsid w:val="0F2F5E3E"/>
    <w:rsid w:val="0F3F7CF5"/>
    <w:rsid w:val="0F4505B4"/>
    <w:rsid w:val="0F5337A0"/>
    <w:rsid w:val="0F866581"/>
    <w:rsid w:val="0FAA3873"/>
    <w:rsid w:val="0FEA607D"/>
    <w:rsid w:val="108A4FA0"/>
    <w:rsid w:val="109936C0"/>
    <w:rsid w:val="10B244F7"/>
    <w:rsid w:val="11401B02"/>
    <w:rsid w:val="11427B0D"/>
    <w:rsid w:val="1165325A"/>
    <w:rsid w:val="119D6F55"/>
    <w:rsid w:val="12130FC5"/>
    <w:rsid w:val="122431D2"/>
    <w:rsid w:val="1306180F"/>
    <w:rsid w:val="130C25E4"/>
    <w:rsid w:val="1319085D"/>
    <w:rsid w:val="13504066"/>
    <w:rsid w:val="1399374C"/>
    <w:rsid w:val="139B1132"/>
    <w:rsid w:val="13E33F78"/>
    <w:rsid w:val="14741FA9"/>
    <w:rsid w:val="14A8633C"/>
    <w:rsid w:val="151D2886"/>
    <w:rsid w:val="15284D87"/>
    <w:rsid w:val="15A924C5"/>
    <w:rsid w:val="15D54F0F"/>
    <w:rsid w:val="15F508CB"/>
    <w:rsid w:val="15F83AD0"/>
    <w:rsid w:val="15F86E50"/>
    <w:rsid w:val="16646293"/>
    <w:rsid w:val="16661C9F"/>
    <w:rsid w:val="16D2744C"/>
    <w:rsid w:val="1700420E"/>
    <w:rsid w:val="17795D6E"/>
    <w:rsid w:val="17AE128A"/>
    <w:rsid w:val="17EF72CD"/>
    <w:rsid w:val="18661122"/>
    <w:rsid w:val="18803DEB"/>
    <w:rsid w:val="189448FF"/>
    <w:rsid w:val="189F21F1"/>
    <w:rsid w:val="18E611E1"/>
    <w:rsid w:val="1921046B"/>
    <w:rsid w:val="19297320"/>
    <w:rsid w:val="19AF5A77"/>
    <w:rsid w:val="19D159ED"/>
    <w:rsid w:val="19F16090"/>
    <w:rsid w:val="19F811CC"/>
    <w:rsid w:val="1A0C111B"/>
    <w:rsid w:val="1A516B2E"/>
    <w:rsid w:val="1A654388"/>
    <w:rsid w:val="1A6E3163"/>
    <w:rsid w:val="1A736693"/>
    <w:rsid w:val="1B2942DD"/>
    <w:rsid w:val="1B724FAE"/>
    <w:rsid w:val="1B924899"/>
    <w:rsid w:val="1BC570C9"/>
    <w:rsid w:val="1BE51C24"/>
    <w:rsid w:val="1BE614F8"/>
    <w:rsid w:val="1C0C3CB4"/>
    <w:rsid w:val="1C2022D8"/>
    <w:rsid w:val="1C2C1601"/>
    <w:rsid w:val="1C744D56"/>
    <w:rsid w:val="1C817B9F"/>
    <w:rsid w:val="1CA23671"/>
    <w:rsid w:val="1CD06430"/>
    <w:rsid w:val="1D3369BF"/>
    <w:rsid w:val="1D9C726A"/>
    <w:rsid w:val="1DC1221D"/>
    <w:rsid w:val="1DDE2DCF"/>
    <w:rsid w:val="1E390005"/>
    <w:rsid w:val="1E7948A6"/>
    <w:rsid w:val="1EBF675C"/>
    <w:rsid w:val="1EC65D3D"/>
    <w:rsid w:val="1EF83A1C"/>
    <w:rsid w:val="1F4B5DA9"/>
    <w:rsid w:val="1F4E188E"/>
    <w:rsid w:val="1F8B49AF"/>
    <w:rsid w:val="1FB262C1"/>
    <w:rsid w:val="1FF73CD4"/>
    <w:rsid w:val="201A79C2"/>
    <w:rsid w:val="2022399F"/>
    <w:rsid w:val="20E00C0C"/>
    <w:rsid w:val="2127683B"/>
    <w:rsid w:val="213351E0"/>
    <w:rsid w:val="216A1220"/>
    <w:rsid w:val="2177331E"/>
    <w:rsid w:val="21816057"/>
    <w:rsid w:val="21A954A2"/>
    <w:rsid w:val="21C65B56"/>
    <w:rsid w:val="21E40288"/>
    <w:rsid w:val="22264CE4"/>
    <w:rsid w:val="224F7DF7"/>
    <w:rsid w:val="22590C76"/>
    <w:rsid w:val="22737F8A"/>
    <w:rsid w:val="22BC43D1"/>
    <w:rsid w:val="22F866E1"/>
    <w:rsid w:val="22FA4207"/>
    <w:rsid w:val="231A6657"/>
    <w:rsid w:val="23E80E96"/>
    <w:rsid w:val="245F0F7A"/>
    <w:rsid w:val="24B670FC"/>
    <w:rsid w:val="251B0465"/>
    <w:rsid w:val="25493224"/>
    <w:rsid w:val="2562533C"/>
    <w:rsid w:val="258778A8"/>
    <w:rsid w:val="258A5645"/>
    <w:rsid w:val="259336F5"/>
    <w:rsid w:val="25BB59F6"/>
    <w:rsid w:val="25D06CE5"/>
    <w:rsid w:val="25D80104"/>
    <w:rsid w:val="25E1520A"/>
    <w:rsid w:val="25FA62CC"/>
    <w:rsid w:val="25FC0296"/>
    <w:rsid w:val="26463D93"/>
    <w:rsid w:val="265E3196"/>
    <w:rsid w:val="266B440B"/>
    <w:rsid w:val="26E322DD"/>
    <w:rsid w:val="26F176CF"/>
    <w:rsid w:val="26FD42C6"/>
    <w:rsid w:val="271B0BF0"/>
    <w:rsid w:val="27CC3C98"/>
    <w:rsid w:val="27D272F8"/>
    <w:rsid w:val="28090A48"/>
    <w:rsid w:val="282C4737"/>
    <w:rsid w:val="28FD67FF"/>
    <w:rsid w:val="29193E30"/>
    <w:rsid w:val="29211DC2"/>
    <w:rsid w:val="29622B06"/>
    <w:rsid w:val="29686B3C"/>
    <w:rsid w:val="29A44ECD"/>
    <w:rsid w:val="29B82726"/>
    <w:rsid w:val="2A0616E3"/>
    <w:rsid w:val="2A157B78"/>
    <w:rsid w:val="2A68414C"/>
    <w:rsid w:val="2A6B59EA"/>
    <w:rsid w:val="2A7D127A"/>
    <w:rsid w:val="2AA607D0"/>
    <w:rsid w:val="2ABE1FBE"/>
    <w:rsid w:val="2B12230A"/>
    <w:rsid w:val="2B1E737A"/>
    <w:rsid w:val="2BDB76AD"/>
    <w:rsid w:val="2C344365"/>
    <w:rsid w:val="2C3F712F"/>
    <w:rsid w:val="2C4D6B01"/>
    <w:rsid w:val="2C92725E"/>
    <w:rsid w:val="2C9E3E55"/>
    <w:rsid w:val="2CAD22EA"/>
    <w:rsid w:val="2CD535EF"/>
    <w:rsid w:val="2CF9552F"/>
    <w:rsid w:val="2CFE48F4"/>
    <w:rsid w:val="2D0E5BEE"/>
    <w:rsid w:val="2D200D0E"/>
    <w:rsid w:val="2D594220"/>
    <w:rsid w:val="2D8B3CEE"/>
    <w:rsid w:val="2D9152E7"/>
    <w:rsid w:val="2D962D7E"/>
    <w:rsid w:val="2D986AF6"/>
    <w:rsid w:val="2DD1025A"/>
    <w:rsid w:val="2DD672FE"/>
    <w:rsid w:val="2E1322B4"/>
    <w:rsid w:val="2E156399"/>
    <w:rsid w:val="2E717347"/>
    <w:rsid w:val="2E8452CD"/>
    <w:rsid w:val="2E980D78"/>
    <w:rsid w:val="2E9A064C"/>
    <w:rsid w:val="2E9A689E"/>
    <w:rsid w:val="2EEC0F89"/>
    <w:rsid w:val="2EEE2746"/>
    <w:rsid w:val="2F06464D"/>
    <w:rsid w:val="2F1E302B"/>
    <w:rsid w:val="2F2A7C22"/>
    <w:rsid w:val="2F7E1D1C"/>
    <w:rsid w:val="2F803CE6"/>
    <w:rsid w:val="2F99128A"/>
    <w:rsid w:val="2FF975F4"/>
    <w:rsid w:val="302C1778"/>
    <w:rsid w:val="3047388E"/>
    <w:rsid w:val="30C0307E"/>
    <w:rsid w:val="314A45AB"/>
    <w:rsid w:val="318178A1"/>
    <w:rsid w:val="319677F1"/>
    <w:rsid w:val="31BE308D"/>
    <w:rsid w:val="31CB056A"/>
    <w:rsid w:val="31F664E1"/>
    <w:rsid w:val="32450250"/>
    <w:rsid w:val="32B06690"/>
    <w:rsid w:val="32F0476C"/>
    <w:rsid w:val="330E1609"/>
    <w:rsid w:val="33266952"/>
    <w:rsid w:val="33550FE6"/>
    <w:rsid w:val="335F1E64"/>
    <w:rsid w:val="33EE35A1"/>
    <w:rsid w:val="34270BD4"/>
    <w:rsid w:val="346040E6"/>
    <w:rsid w:val="34812B9C"/>
    <w:rsid w:val="34D348B8"/>
    <w:rsid w:val="34E70363"/>
    <w:rsid w:val="350C679F"/>
    <w:rsid w:val="35703BE5"/>
    <w:rsid w:val="35753BC1"/>
    <w:rsid w:val="35D54660"/>
    <w:rsid w:val="35E0728C"/>
    <w:rsid w:val="36054F45"/>
    <w:rsid w:val="36154A5C"/>
    <w:rsid w:val="363A2CDA"/>
    <w:rsid w:val="368220F2"/>
    <w:rsid w:val="37013FB1"/>
    <w:rsid w:val="37D20E57"/>
    <w:rsid w:val="37DA41AF"/>
    <w:rsid w:val="38160DE7"/>
    <w:rsid w:val="38174ABC"/>
    <w:rsid w:val="38910D12"/>
    <w:rsid w:val="38C420A7"/>
    <w:rsid w:val="397E6A4F"/>
    <w:rsid w:val="3A064320"/>
    <w:rsid w:val="3A141A1A"/>
    <w:rsid w:val="3A4A60C7"/>
    <w:rsid w:val="3A52627F"/>
    <w:rsid w:val="3A614F4C"/>
    <w:rsid w:val="3A742699"/>
    <w:rsid w:val="3A94328C"/>
    <w:rsid w:val="3A993EAE"/>
    <w:rsid w:val="3AED7768"/>
    <w:rsid w:val="3BA7084C"/>
    <w:rsid w:val="3CB2202B"/>
    <w:rsid w:val="3D2866A5"/>
    <w:rsid w:val="3E1861EB"/>
    <w:rsid w:val="3E3A1504"/>
    <w:rsid w:val="3EA10B09"/>
    <w:rsid w:val="3EA64DEB"/>
    <w:rsid w:val="3F47212A"/>
    <w:rsid w:val="3F487C50"/>
    <w:rsid w:val="3F541BA2"/>
    <w:rsid w:val="3F762A0F"/>
    <w:rsid w:val="3F890995"/>
    <w:rsid w:val="3FB05F21"/>
    <w:rsid w:val="3FBB6674"/>
    <w:rsid w:val="3FC96FE3"/>
    <w:rsid w:val="3FDA11F0"/>
    <w:rsid w:val="3FDF032E"/>
    <w:rsid w:val="40214389"/>
    <w:rsid w:val="408B4D6C"/>
    <w:rsid w:val="40DC4AF4"/>
    <w:rsid w:val="40E611D1"/>
    <w:rsid w:val="40EF2A79"/>
    <w:rsid w:val="41033B9B"/>
    <w:rsid w:val="411D7EC4"/>
    <w:rsid w:val="4128702C"/>
    <w:rsid w:val="4159182C"/>
    <w:rsid w:val="416B2AF5"/>
    <w:rsid w:val="41DA15EE"/>
    <w:rsid w:val="41FF4F3E"/>
    <w:rsid w:val="423746D8"/>
    <w:rsid w:val="428C30FA"/>
    <w:rsid w:val="43282273"/>
    <w:rsid w:val="436C05A9"/>
    <w:rsid w:val="43811983"/>
    <w:rsid w:val="438A6231"/>
    <w:rsid w:val="43B753A5"/>
    <w:rsid w:val="444255B6"/>
    <w:rsid w:val="448D61CA"/>
    <w:rsid w:val="44C26AD9"/>
    <w:rsid w:val="4522011C"/>
    <w:rsid w:val="45634F1C"/>
    <w:rsid w:val="456E5467"/>
    <w:rsid w:val="457479F1"/>
    <w:rsid w:val="45AA51C1"/>
    <w:rsid w:val="45DE6482"/>
    <w:rsid w:val="45F14B9E"/>
    <w:rsid w:val="45F4468E"/>
    <w:rsid w:val="4617517F"/>
    <w:rsid w:val="461F167F"/>
    <w:rsid w:val="46771A8B"/>
    <w:rsid w:val="468B2959"/>
    <w:rsid w:val="46AF3B9A"/>
    <w:rsid w:val="472457F6"/>
    <w:rsid w:val="47344B9C"/>
    <w:rsid w:val="47543636"/>
    <w:rsid w:val="4771787B"/>
    <w:rsid w:val="47EC1AC1"/>
    <w:rsid w:val="47EF15B1"/>
    <w:rsid w:val="480F57AF"/>
    <w:rsid w:val="487F2935"/>
    <w:rsid w:val="48A73C3A"/>
    <w:rsid w:val="48A83599"/>
    <w:rsid w:val="48AE321A"/>
    <w:rsid w:val="48BA396D"/>
    <w:rsid w:val="48E42C39"/>
    <w:rsid w:val="492B6619"/>
    <w:rsid w:val="49A60395"/>
    <w:rsid w:val="4A4A6F73"/>
    <w:rsid w:val="4AE051E1"/>
    <w:rsid w:val="4B35377F"/>
    <w:rsid w:val="4B555BCF"/>
    <w:rsid w:val="4B5C3329"/>
    <w:rsid w:val="4B667DDC"/>
    <w:rsid w:val="4B932FE8"/>
    <w:rsid w:val="4BB6752C"/>
    <w:rsid w:val="4C1635B0"/>
    <w:rsid w:val="4C793B3F"/>
    <w:rsid w:val="4CB92D45"/>
    <w:rsid w:val="4D0C050F"/>
    <w:rsid w:val="4D115B26"/>
    <w:rsid w:val="4D7F6F33"/>
    <w:rsid w:val="4D8B58D8"/>
    <w:rsid w:val="4E335C67"/>
    <w:rsid w:val="4ED137BE"/>
    <w:rsid w:val="4EF676C9"/>
    <w:rsid w:val="4F005E52"/>
    <w:rsid w:val="4F9716AB"/>
    <w:rsid w:val="4FF656A5"/>
    <w:rsid w:val="502E6B39"/>
    <w:rsid w:val="506F7733"/>
    <w:rsid w:val="508C7456"/>
    <w:rsid w:val="50CA024B"/>
    <w:rsid w:val="50F33EC0"/>
    <w:rsid w:val="511D718F"/>
    <w:rsid w:val="517E50CA"/>
    <w:rsid w:val="51B318A1"/>
    <w:rsid w:val="52045C59"/>
    <w:rsid w:val="52497B10"/>
    <w:rsid w:val="53163E96"/>
    <w:rsid w:val="53291DEA"/>
    <w:rsid w:val="5349426B"/>
    <w:rsid w:val="53CF3929"/>
    <w:rsid w:val="53DD2C05"/>
    <w:rsid w:val="53F35F85"/>
    <w:rsid w:val="54324CFF"/>
    <w:rsid w:val="54521F21"/>
    <w:rsid w:val="54BE47E5"/>
    <w:rsid w:val="54CB0CB0"/>
    <w:rsid w:val="54EA7388"/>
    <w:rsid w:val="55093653"/>
    <w:rsid w:val="558B7073"/>
    <w:rsid w:val="55A05696"/>
    <w:rsid w:val="55D01C0C"/>
    <w:rsid w:val="55E22755"/>
    <w:rsid w:val="55F10BEA"/>
    <w:rsid w:val="560C1580"/>
    <w:rsid w:val="562543F0"/>
    <w:rsid w:val="567C6706"/>
    <w:rsid w:val="56CB31E9"/>
    <w:rsid w:val="56E13C20"/>
    <w:rsid w:val="56EE0C86"/>
    <w:rsid w:val="57387588"/>
    <w:rsid w:val="57580F21"/>
    <w:rsid w:val="579558DF"/>
    <w:rsid w:val="57CB5299"/>
    <w:rsid w:val="57D54CC1"/>
    <w:rsid w:val="57EB51CE"/>
    <w:rsid w:val="57F552B8"/>
    <w:rsid w:val="583C619A"/>
    <w:rsid w:val="58B54151"/>
    <w:rsid w:val="58DA5965"/>
    <w:rsid w:val="5906675A"/>
    <w:rsid w:val="593A5004"/>
    <w:rsid w:val="59407EBE"/>
    <w:rsid w:val="599E4BE5"/>
    <w:rsid w:val="59A3044D"/>
    <w:rsid w:val="5A0116A6"/>
    <w:rsid w:val="5A3E3CD2"/>
    <w:rsid w:val="5A405C9C"/>
    <w:rsid w:val="5A9D6C4B"/>
    <w:rsid w:val="5AB26B9A"/>
    <w:rsid w:val="5AC4067B"/>
    <w:rsid w:val="5B14258B"/>
    <w:rsid w:val="5B1C4013"/>
    <w:rsid w:val="5B3023DD"/>
    <w:rsid w:val="5B3A093D"/>
    <w:rsid w:val="5B721E85"/>
    <w:rsid w:val="5BBE331C"/>
    <w:rsid w:val="5BC05EF6"/>
    <w:rsid w:val="5BDB3ECE"/>
    <w:rsid w:val="5BEC7EC7"/>
    <w:rsid w:val="5C206B9B"/>
    <w:rsid w:val="5C393B07"/>
    <w:rsid w:val="5C9C18B0"/>
    <w:rsid w:val="5D0631CD"/>
    <w:rsid w:val="5D3A2E77"/>
    <w:rsid w:val="5D5064CF"/>
    <w:rsid w:val="5D69550A"/>
    <w:rsid w:val="5D9911E0"/>
    <w:rsid w:val="5DD010E5"/>
    <w:rsid w:val="5E341674"/>
    <w:rsid w:val="5E543AC4"/>
    <w:rsid w:val="5E8B6B8D"/>
    <w:rsid w:val="5EA56CA4"/>
    <w:rsid w:val="5ECE1AC8"/>
    <w:rsid w:val="5EEF6DA6"/>
    <w:rsid w:val="5F1C2834"/>
    <w:rsid w:val="5F2A5792"/>
    <w:rsid w:val="5F447FDD"/>
    <w:rsid w:val="5F9930FC"/>
    <w:rsid w:val="5FB46F10"/>
    <w:rsid w:val="5FD50FF9"/>
    <w:rsid w:val="5FD70E51"/>
    <w:rsid w:val="60017C7C"/>
    <w:rsid w:val="60221FAC"/>
    <w:rsid w:val="60911000"/>
    <w:rsid w:val="60B0465A"/>
    <w:rsid w:val="60E27AAD"/>
    <w:rsid w:val="60F70E52"/>
    <w:rsid w:val="61200DE5"/>
    <w:rsid w:val="614F0BA7"/>
    <w:rsid w:val="6166248C"/>
    <w:rsid w:val="618225BF"/>
    <w:rsid w:val="61880654"/>
    <w:rsid w:val="619F21DC"/>
    <w:rsid w:val="61C827FF"/>
    <w:rsid w:val="61D417B9"/>
    <w:rsid w:val="622E34CB"/>
    <w:rsid w:val="625B3673"/>
    <w:rsid w:val="629E5C56"/>
    <w:rsid w:val="62A74B0A"/>
    <w:rsid w:val="62AB5B45"/>
    <w:rsid w:val="62B965EC"/>
    <w:rsid w:val="62D1007E"/>
    <w:rsid w:val="63266032"/>
    <w:rsid w:val="63276720"/>
    <w:rsid w:val="633851FD"/>
    <w:rsid w:val="63393E6E"/>
    <w:rsid w:val="633B34A5"/>
    <w:rsid w:val="63454B4C"/>
    <w:rsid w:val="638730C9"/>
    <w:rsid w:val="63901A42"/>
    <w:rsid w:val="639A19A1"/>
    <w:rsid w:val="63A454EE"/>
    <w:rsid w:val="63BB78FD"/>
    <w:rsid w:val="63F8542E"/>
    <w:rsid w:val="64414AEB"/>
    <w:rsid w:val="64A3242D"/>
    <w:rsid w:val="64CF659A"/>
    <w:rsid w:val="651E6BDA"/>
    <w:rsid w:val="65415884"/>
    <w:rsid w:val="655E517C"/>
    <w:rsid w:val="656C3DE9"/>
    <w:rsid w:val="65847385"/>
    <w:rsid w:val="658B24C1"/>
    <w:rsid w:val="65A6554D"/>
    <w:rsid w:val="65C9251A"/>
    <w:rsid w:val="65CC6636"/>
    <w:rsid w:val="65ED4E63"/>
    <w:rsid w:val="66B71094"/>
    <w:rsid w:val="66D103A8"/>
    <w:rsid w:val="66FD119D"/>
    <w:rsid w:val="670F0ED0"/>
    <w:rsid w:val="67140294"/>
    <w:rsid w:val="67380F2D"/>
    <w:rsid w:val="67492634"/>
    <w:rsid w:val="67B51A77"/>
    <w:rsid w:val="67B63E1E"/>
    <w:rsid w:val="67DF6AF4"/>
    <w:rsid w:val="67F26828"/>
    <w:rsid w:val="684568BD"/>
    <w:rsid w:val="684B69D2"/>
    <w:rsid w:val="68C87588"/>
    <w:rsid w:val="68DE2157"/>
    <w:rsid w:val="691A4011"/>
    <w:rsid w:val="69207E48"/>
    <w:rsid w:val="692D1AE1"/>
    <w:rsid w:val="695D4175"/>
    <w:rsid w:val="69643755"/>
    <w:rsid w:val="698C5394"/>
    <w:rsid w:val="69B04E52"/>
    <w:rsid w:val="69C212AA"/>
    <w:rsid w:val="69C30372"/>
    <w:rsid w:val="69C94295"/>
    <w:rsid w:val="69CD14B6"/>
    <w:rsid w:val="6A024D1C"/>
    <w:rsid w:val="6A386990"/>
    <w:rsid w:val="6A883473"/>
    <w:rsid w:val="6AC41FD2"/>
    <w:rsid w:val="6AF9611F"/>
    <w:rsid w:val="6AFB4F65"/>
    <w:rsid w:val="6B071B1C"/>
    <w:rsid w:val="6B6B19DF"/>
    <w:rsid w:val="6B8579B3"/>
    <w:rsid w:val="6B8E2845"/>
    <w:rsid w:val="6C180908"/>
    <w:rsid w:val="6C3C4515"/>
    <w:rsid w:val="6C874768"/>
    <w:rsid w:val="6D1501EA"/>
    <w:rsid w:val="6D394EF9"/>
    <w:rsid w:val="6D940381"/>
    <w:rsid w:val="6D9A2DB3"/>
    <w:rsid w:val="6E0C43BB"/>
    <w:rsid w:val="6E301E58"/>
    <w:rsid w:val="6E3D4575"/>
    <w:rsid w:val="6E5C252D"/>
    <w:rsid w:val="6EAD58A4"/>
    <w:rsid w:val="6F0F5F11"/>
    <w:rsid w:val="6F375468"/>
    <w:rsid w:val="6F3C7BC0"/>
    <w:rsid w:val="6FCF38F2"/>
    <w:rsid w:val="6FD74555"/>
    <w:rsid w:val="6FF46EB5"/>
    <w:rsid w:val="700079BA"/>
    <w:rsid w:val="70283F8F"/>
    <w:rsid w:val="70AE52B6"/>
    <w:rsid w:val="70B52AE8"/>
    <w:rsid w:val="70C26FB3"/>
    <w:rsid w:val="70E37655"/>
    <w:rsid w:val="710870BC"/>
    <w:rsid w:val="713954C7"/>
    <w:rsid w:val="715E78E8"/>
    <w:rsid w:val="717A5889"/>
    <w:rsid w:val="71C50B09"/>
    <w:rsid w:val="71EA4A14"/>
    <w:rsid w:val="71F80EC2"/>
    <w:rsid w:val="722566E5"/>
    <w:rsid w:val="722E1FE8"/>
    <w:rsid w:val="7249798C"/>
    <w:rsid w:val="7271666B"/>
    <w:rsid w:val="72BC63B0"/>
    <w:rsid w:val="737C169B"/>
    <w:rsid w:val="73E831D5"/>
    <w:rsid w:val="73F553F3"/>
    <w:rsid w:val="7407365B"/>
    <w:rsid w:val="740F66E4"/>
    <w:rsid w:val="742D0BE7"/>
    <w:rsid w:val="7431087C"/>
    <w:rsid w:val="744C3764"/>
    <w:rsid w:val="745D14CD"/>
    <w:rsid w:val="74911176"/>
    <w:rsid w:val="74B75D5D"/>
    <w:rsid w:val="74DD25AD"/>
    <w:rsid w:val="74DF337F"/>
    <w:rsid w:val="74E7523A"/>
    <w:rsid w:val="75153B55"/>
    <w:rsid w:val="7581743D"/>
    <w:rsid w:val="75EF084A"/>
    <w:rsid w:val="770C4875"/>
    <w:rsid w:val="77144E6C"/>
    <w:rsid w:val="77731007"/>
    <w:rsid w:val="77764653"/>
    <w:rsid w:val="77D15DB7"/>
    <w:rsid w:val="77F51B55"/>
    <w:rsid w:val="7836450F"/>
    <w:rsid w:val="78961451"/>
    <w:rsid w:val="78AD0549"/>
    <w:rsid w:val="78F87A16"/>
    <w:rsid w:val="790879ED"/>
    <w:rsid w:val="794D09F6"/>
    <w:rsid w:val="79915775"/>
    <w:rsid w:val="79997DD2"/>
    <w:rsid w:val="79B032BC"/>
    <w:rsid w:val="79BF0534"/>
    <w:rsid w:val="79D33FDF"/>
    <w:rsid w:val="7A066D85"/>
    <w:rsid w:val="7A1E16FE"/>
    <w:rsid w:val="7A591019"/>
    <w:rsid w:val="7A695F3F"/>
    <w:rsid w:val="7A833E42"/>
    <w:rsid w:val="7A8377B3"/>
    <w:rsid w:val="7AC36B4A"/>
    <w:rsid w:val="7B0E3521"/>
    <w:rsid w:val="7B9D48A5"/>
    <w:rsid w:val="7BE10C35"/>
    <w:rsid w:val="7BE2675B"/>
    <w:rsid w:val="7BF754E3"/>
    <w:rsid w:val="7BFC5A6F"/>
    <w:rsid w:val="7C6B4676"/>
    <w:rsid w:val="7C830F7C"/>
    <w:rsid w:val="7CA81753"/>
    <w:rsid w:val="7CF76237"/>
    <w:rsid w:val="7D434BB7"/>
    <w:rsid w:val="7D8950E1"/>
    <w:rsid w:val="7D9817C8"/>
    <w:rsid w:val="7DB008BF"/>
    <w:rsid w:val="7DBE203E"/>
    <w:rsid w:val="7E04739F"/>
    <w:rsid w:val="7EDC56E4"/>
    <w:rsid w:val="7F166E48"/>
    <w:rsid w:val="7F2257ED"/>
    <w:rsid w:val="7F231565"/>
    <w:rsid w:val="7F791185"/>
    <w:rsid w:val="7FEF5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8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6"/>
    <w:autoRedefine/>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5">
    <w:name w:val="heading 4"/>
    <w:basedOn w:val="1"/>
    <w:next w:val="1"/>
    <w:link w:val="86"/>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96"/>
    <w:autoRedefine/>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8">
    <w:name w:val="heading 7"/>
    <w:basedOn w:val="1"/>
    <w:next w:val="1"/>
    <w:link w:val="97"/>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9">
    <w:name w:val="heading 8"/>
    <w:basedOn w:val="1"/>
    <w:next w:val="1"/>
    <w:link w:val="94"/>
    <w:autoRedefine/>
    <w:qFormat/>
    <w:uiPriority w:val="0"/>
    <w:pPr>
      <w:keepNext/>
      <w:keepLines/>
      <w:spacing w:before="240" w:after="64" w:line="320" w:lineRule="auto"/>
      <w:outlineLvl w:val="7"/>
    </w:pPr>
    <w:rPr>
      <w:rFonts w:ascii="Cambria" w:hAnsi="Cambria"/>
      <w:sz w:val="24"/>
      <w:szCs w:val="24"/>
    </w:rPr>
  </w:style>
  <w:style w:type="paragraph" w:styleId="10">
    <w:name w:val="heading 9"/>
    <w:basedOn w:val="1"/>
    <w:next w:val="1"/>
    <w:link w:val="98"/>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320"/>
    </w:pPr>
    <w:rPr>
      <w:rFonts w:asciiTheme="minorHAnsi" w:hAnsiTheme="minorHAnsi" w:cstheme="minorHAnsi"/>
      <w:sz w:val="18"/>
      <w:szCs w:val="18"/>
    </w:rPr>
  </w:style>
  <w:style w:type="paragraph" w:styleId="12">
    <w:name w:val="Normal Indent"/>
    <w:basedOn w:val="1"/>
    <w:link w:val="169"/>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3">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4">
    <w:name w:val="Document Map"/>
    <w:basedOn w:val="1"/>
    <w:link w:val="71"/>
    <w:autoRedefine/>
    <w:qFormat/>
    <w:uiPriority w:val="0"/>
    <w:rPr>
      <w:sz w:val="18"/>
      <w:szCs w:val="18"/>
    </w:rPr>
  </w:style>
  <w:style w:type="paragraph" w:styleId="15">
    <w:name w:val="annotation text"/>
    <w:basedOn w:val="1"/>
    <w:link w:val="82"/>
    <w:autoRedefine/>
    <w:qFormat/>
    <w:uiPriority w:val="0"/>
  </w:style>
  <w:style w:type="paragraph" w:styleId="16">
    <w:name w:val="Body Text 3"/>
    <w:basedOn w:val="1"/>
    <w:link w:val="84"/>
    <w:autoRedefine/>
    <w:qFormat/>
    <w:uiPriority w:val="0"/>
    <w:pPr>
      <w:spacing w:after="120"/>
    </w:pPr>
    <w:rPr>
      <w:sz w:val="16"/>
      <w:szCs w:val="16"/>
    </w:rPr>
  </w:style>
  <w:style w:type="paragraph" w:styleId="17">
    <w:name w:val="Body Text"/>
    <w:basedOn w:val="1"/>
    <w:link w:val="75"/>
    <w:autoRedefine/>
    <w:qFormat/>
    <w:uiPriority w:val="0"/>
    <w:rPr>
      <w:sz w:val="21"/>
      <w:szCs w:val="21"/>
    </w:rPr>
  </w:style>
  <w:style w:type="paragraph" w:styleId="18">
    <w:name w:val="Body Text Indent"/>
    <w:basedOn w:val="1"/>
    <w:next w:val="19"/>
    <w:link w:val="164"/>
    <w:autoRedefine/>
    <w:qFormat/>
    <w:uiPriority w:val="0"/>
    <w:pPr>
      <w:spacing w:after="120"/>
      <w:ind w:left="420" w:leftChars="200"/>
    </w:pPr>
  </w:style>
  <w:style w:type="paragraph" w:styleId="19">
    <w:name w:val="envelope return"/>
    <w:basedOn w:val="1"/>
    <w:autoRedefine/>
    <w:qFormat/>
    <w:uiPriority w:val="0"/>
    <w:pPr>
      <w:snapToGrid w:val="0"/>
    </w:pPr>
    <w:rPr>
      <w:rFonts w:ascii="Arial" w:hAnsi="Arial" w:cs="Times New Roman"/>
    </w:rPr>
  </w:style>
  <w:style w:type="paragraph" w:styleId="20">
    <w:name w:val="Block Text"/>
    <w:basedOn w:val="1"/>
    <w:autoRedefine/>
    <w:qFormat/>
    <w:uiPriority w:val="0"/>
    <w:pPr>
      <w:adjustRightInd w:val="0"/>
      <w:ind w:left="420" w:right="33"/>
      <w:textAlignment w:val="baseline"/>
    </w:pPr>
    <w:rPr>
      <w:rFonts w:ascii="Times New Roman" w:hAnsi="Times New Roman" w:cs="Times New Roman"/>
      <w:sz w:val="24"/>
      <w:szCs w:val="20"/>
      <w:lang w:eastAsia="zh-CN"/>
    </w:rPr>
  </w:style>
  <w:style w:type="paragraph" w:styleId="21">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2">
    <w:name w:val="toc 5"/>
    <w:basedOn w:val="1"/>
    <w:next w:val="1"/>
    <w:autoRedefine/>
    <w:qFormat/>
    <w:uiPriority w:val="0"/>
    <w:pPr>
      <w:ind w:left="880"/>
    </w:pPr>
    <w:rPr>
      <w:rFonts w:asciiTheme="minorHAnsi" w:hAnsiTheme="minorHAnsi" w:cstheme="minorHAnsi"/>
      <w:sz w:val="18"/>
      <w:szCs w:val="18"/>
    </w:rPr>
  </w:style>
  <w:style w:type="paragraph" w:styleId="23">
    <w:name w:val="toc 3"/>
    <w:basedOn w:val="1"/>
    <w:next w:val="1"/>
    <w:autoRedefine/>
    <w:qFormat/>
    <w:uiPriority w:val="0"/>
    <w:pPr>
      <w:ind w:left="440"/>
    </w:pPr>
    <w:rPr>
      <w:rFonts w:asciiTheme="minorHAnsi" w:hAnsiTheme="minorHAnsi" w:cstheme="minorHAnsi"/>
      <w:i/>
      <w:iCs/>
      <w:sz w:val="20"/>
      <w:szCs w:val="20"/>
    </w:rPr>
  </w:style>
  <w:style w:type="paragraph" w:styleId="24">
    <w:name w:val="Plain Text"/>
    <w:basedOn w:val="1"/>
    <w:link w:val="79"/>
    <w:qFormat/>
    <w:uiPriority w:val="0"/>
    <w:pPr>
      <w:jc w:val="both"/>
    </w:pPr>
    <w:rPr>
      <w:rFonts w:hAnsi="Courier New"/>
      <w:kern w:val="2"/>
      <w:sz w:val="21"/>
      <w:lang w:eastAsia="zh-CN"/>
    </w:rPr>
  </w:style>
  <w:style w:type="paragraph" w:styleId="25">
    <w:name w:val="toc 8"/>
    <w:basedOn w:val="1"/>
    <w:next w:val="1"/>
    <w:autoRedefine/>
    <w:qFormat/>
    <w:uiPriority w:val="39"/>
    <w:pPr>
      <w:ind w:left="1540"/>
    </w:pPr>
    <w:rPr>
      <w:rFonts w:asciiTheme="minorHAnsi" w:hAnsiTheme="minorHAnsi" w:cstheme="minorHAnsi"/>
      <w:sz w:val="18"/>
      <w:szCs w:val="18"/>
    </w:rPr>
  </w:style>
  <w:style w:type="paragraph" w:styleId="26">
    <w:name w:val="Date"/>
    <w:basedOn w:val="1"/>
    <w:next w:val="1"/>
    <w:link w:val="78"/>
    <w:autoRedefine/>
    <w:qFormat/>
    <w:uiPriority w:val="0"/>
    <w:pPr>
      <w:ind w:left="100" w:leftChars="2500"/>
    </w:pPr>
  </w:style>
  <w:style w:type="paragraph" w:styleId="27">
    <w:name w:val="Body Text Indent 2"/>
    <w:basedOn w:val="1"/>
    <w:link w:val="90"/>
    <w:autoRedefine/>
    <w:qFormat/>
    <w:uiPriority w:val="0"/>
    <w:pPr>
      <w:spacing w:after="120" w:line="480" w:lineRule="auto"/>
      <w:ind w:left="420" w:leftChars="200"/>
    </w:pPr>
  </w:style>
  <w:style w:type="paragraph" w:styleId="28">
    <w:name w:val="Balloon Text"/>
    <w:basedOn w:val="1"/>
    <w:link w:val="74"/>
    <w:autoRedefine/>
    <w:qFormat/>
    <w:uiPriority w:val="0"/>
    <w:rPr>
      <w:sz w:val="18"/>
      <w:szCs w:val="18"/>
    </w:rPr>
  </w:style>
  <w:style w:type="paragraph" w:styleId="29">
    <w:name w:val="footer"/>
    <w:basedOn w:val="1"/>
    <w:link w:val="73"/>
    <w:autoRedefine/>
    <w:qFormat/>
    <w:uiPriority w:val="99"/>
    <w:pPr>
      <w:tabs>
        <w:tab w:val="center" w:pos="4153"/>
        <w:tab w:val="right" w:pos="8306"/>
      </w:tabs>
      <w:snapToGrid w:val="0"/>
    </w:pPr>
    <w:rPr>
      <w:sz w:val="18"/>
      <w:szCs w:val="18"/>
    </w:rPr>
  </w:style>
  <w:style w:type="paragraph" w:styleId="30">
    <w:name w:val="header"/>
    <w:basedOn w:val="1"/>
    <w:link w:val="72"/>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120" w:after="120"/>
    </w:pPr>
    <w:rPr>
      <w:rFonts w:asciiTheme="minorHAnsi" w:hAnsiTheme="minorHAnsi" w:cstheme="minorHAnsi"/>
      <w:b/>
      <w:bCs/>
      <w:caps/>
      <w:sz w:val="20"/>
      <w:szCs w:val="20"/>
    </w:rPr>
  </w:style>
  <w:style w:type="paragraph" w:styleId="32">
    <w:name w:val="toc 4"/>
    <w:basedOn w:val="1"/>
    <w:next w:val="1"/>
    <w:autoRedefine/>
    <w:qFormat/>
    <w:uiPriority w:val="0"/>
    <w:pPr>
      <w:ind w:left="660"/>
    </w:pPr>
    <w:rPr>
      <w:rFonts w:asciiTheme="minorHAnsi" w:hAnsiTheme="minorHAnsi" w:cstheme="minorHAnsi"/>
      <w:sz w:val="18"/>
      <w:szCs w:val="18"/>
    </w:rPr>
  </w:style>
  <w:style w:type="paragraph" w:styleId="33">
    <w:name w:val="Subtitle"/>
    <w:basedOn w:val="1"/>
    <w:next w:val="1"/>
    <w:link w:val="112"/>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4">
    <w:name w:val="toc 6"/>
    <w:basedOn w:val="1"/>
    <w:next w:val="1"/>
    <w:autoRedefine/>
    <w:qFormat/>
    <w:uiPriority w:val="39"/>
    <w:pPr>
      <w:ind w:left="1100"/>
    </w:pPr>
    <w:rPr>
      <w:rFonts w:asciiTheme="minorHAnsi" w:hAnsiTheme="minorHAnsi" w:cstheme="minorHAnsi"/>
      <w:sz w:val="18"/>
      <w:szCs w:val="18"/>
    </w:rPr>
  </w:style>
  <w:style w:type="paragraph" w:styleId="35">
    <w:name w:val="Body Text Indent 3"/>
    <w:basedOn w:val="1"/>
    <w:link w:val="163"/>
    <w:autoRedefine/>
    <w:qFormat/>
    <w:uiPriority w:val="0"/>
    <w:pPr>
      <w:widowControl/>
      <w:spacing w:after="120"/>
      <w:ind w:left="420" w:leftChars="200"/>
    </w:pPr>
    <w:rPr>
      <w:rFonts w:cs="Times New Roman"/>
      <w:sz w:val="16"/>
      <w:szCs w:val="16"/>
      <w:lang w:eastAsia="zh-CN"/>
    </w:rPr>
  </w:style>
  <w:style w:type="paragraph" w:styleId="36">
    <w:name w:val="toc 2"/>
    <w:basedOn w:val="1"/>
    <w:next w:val="1"/>
    <w:autoRedefine/>
    <w:qFormat/>
    <w:uiPriority w:val="39"/>
    <w:pPr>
      <w:ind w:left="220"/>
    </w:pPr>
    <w:rPr>
      <w:rFonts w:asciiTheme="minorHAnsi" w:hAnsiTheme="minorHAnsi" w:cstheme="minorHAnsi"/>
      <w:smallCaps/>
      <w:sz w:val="20"/>
      <w:szCs w:val="20"/>
    </w:rPr>
  </w:style>
  <w:style w:type="paragraph" w:styleId="37">
    <w:name w:val="toc 9"/>
    <w:basedOn w:val="1"/>
    <w:next w:val="1"/>
    <w:autoRedefine/>
    <w:qFormat/>
    <w:uiPriority w:val="39"/>
    <w:pPr>
      <w:ind w:left="1760"/>
    </w:pPr>
    <w:rPr>
      <w:rFonts w:asciiTheme="minorHAnsi" w:hAnsiTheme="minorHAnsi" w:cstheme="minorHAnsi"/>
      <w:sz w:val="18"/>
      <w:szCs w:val="18"/>
    </w:rPr>
  </w:style>
  <w:style w:type="paragraph" w:styleId="38">
    <w:name w:val="List Continue 2"/>
    <w:basedOn w:val="1"/>
    <w:autoRedefine/>
    <w:qFormat/>
    <w:uiPriority w:val="99"/>
    <w:pPr>
      <w:spacing w:after="120"/>
      <w:ind w:left="840" w:leftChars="400"/>
      <w:contextualSpacing/>
    </w:pPr>
  </w:style>
  <w:style w:type="paragraph" w:styleId="39">
    <w:name w:val="Normal (Web)"/>
    <w:basedOn w:val="1"/>
    <w:autoRedefine/>
    <w:qFormat/>
    <w:uiPriority w:val="0"/>
    <w:pPr>
      <w:widowControl/>
    </w:pPr>
    <w:rPr>
      <w:sz w:val="24"/>
      <w:szCs w:val="24"/>
      <w:lang w:eastAsia="zh-CN"/>
    </w:rPr>
  </w:style>
  <w:style w:type="paragraph" w:styleId="40">
    <w:name w:val="Title"/>
    <w:basedOn w:val="1"/>
    <w:link w:val="105"/>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41">
    <w:name w:val="annotation subject"/>
    <w:basedOn w:val="15"/>
    <w:next w:val="15"/>
    <w:link w:val="83"/>
    <w:autoRedefine/>
    <w:qFormat/>
    <w:uiPriority w:val="0"/>
    <w:rPr>
      <w:b/>
      <w:bCs/>
    </w:rPr>
  </w:style>
  <w:style w:type="paragraph" w:styleId="42">
    <w:name w:val="Body Text First Indent"/>
    <w:basedOn w:val="1"/>
    <w:link w:val="137"/>
    <w:autoRedefine/>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link w:val="165"/>
    <w:autoRedefine/>
    <w:qFormat/>
    <w:uiPriority w:val="0"/>
    <w:pPr>
      <w:ind w:firstLine="420" w:firstLineChars="200"/>
    </w:pPr>
  </w:style>
  <w:style w:type="table" w:styleId="45">
    <w:name w:val="Table Grid"/>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autoRedefine/>
    <w:qFormat/>
    <w:uiPriority w:val="0"/>
    <w:rPr>
      <w:rFonts w:cs="Times New Roman"/>
    </w:rPr>
  </w:style>
  <w:style w:type="character" w:styleId="49">
    <w:name w:val="FollowedHyperlink"/>
    <w:basedOn w:val="46"/>
    <w:autoRedefine/>
    <w:qFormat/>
    <w:uiPriority w:val="0"/>
    <w:rPr>
      <w:color w:val="800080"/>
      <w:u w:val="single"/>
    </w:rPr>
  </w:style>
  <w:style w:type="character" w:styleId="50">
    <w:name w:val="Emphasis"/>
    <w:autoRedefine/>
    <w:qFormat/>
    <w:uiPriority w:val="20"/>
    <w:rPr>
      <w:i/>
      <w:iCs/>
    </w:rPr>
  </w:style>
  <w:style w:type="character" w:styleId="51">
    <w:name w:val="HTML Definition"/>
    <w:basedOn w:val="46"/>
    <w:autoRedefine/>
    <w:qFormat/>
    <w:uiPriority w:val="99"/>
  </w:style>
  <w:style w:type="character" w:styleId="52">
    <w:name w:val="HTML Typewriter"/>
    <w:basedOn w:val="46"/>
    <w:autoRedefine/>
    <w:qFormat/>
    <w:uiPriority w:val="99"/>
    <w:rPr>
      <w:rFonts w:hint="default" w:ascii="monospace" w:hAnsi="monospace" w:eastAsia="monospace" w:cs="monospace"/>
      <w:sz w:val="20"/>
    </w:rPr>
  </w:style>
  <w:style w:type="character" w:styleId="53">
    <w:name w:val="HTML Acronym"/>
    <w:basedOn w:val="46"/>
    <w:autoRedefine/>
    <w:qFormat/>
    <w:uiPriority w:val="99"/>
  </w:style>
  <w:style w:type="character" w:styleId="54">
    <w:name w:val="HTML Variable"/>
    <w:basedOn w:val="46"/>
    <w:autoRedefine/>
    <w:qFormat/>
    <w:uiPriority w:val="99"/>
  </w:style>
  <w:style w:type="character" w:styleId="55">
    <w:name w:val="Hyperlink"/>
    <w:basedOn w:val="46"/>
    <w:autoRedefine/>
    <w:qFormat/>
    <w:uiPriority w:val="99"/>
    <w:rPr>
      <w:color w:val="0000FF"/>
      <w:u w:val="single"/>
    </w:rPr>
  </w:style>
  <w:style w:type="character" w:styleId="56">
    <w:name w:val="HTML Code"/>
    <w:basedOn w:val="46"/>
    <w:autoRedefine/>
    <w:qFormat/>
    <w:uiPriority w:val="0"/>
    <w:rPr>
      <w:rFonts w:ascii="monospace" w:hAnsi="monospace" w:eastAsia="monospace" w:cs="monospace"/>
      <w:sz w:val="20"/>
    </w:rPr>
  </w:style>
  <w:style w:type="character" w:styleId="57">
    <w:name w:val="annotation reference"/>
    <w:basedOn w:val="46"/>
    <w:autoRedefine/>
    <w:qFormat/>
    <w:uiPriority w:val="0"/>
    <w:rPr>
      <w:sz w:val="21"/>
      <w:szCs w:val="21"/>
    </w:rPr>
  </w:style>
  <w:style w:type="character" w:styleId="58">
    <w:name w:val="HTML Cite"/>
    <w:basedOn w:val="46"/>
    <w:autoRedefine/>
    <w:qFormat/>
    <w:uiPriority w:val="0"/>
  </w:style>
  <w:style w:type="character" w:styleId="59">
    <w:name w:val="HTML Keyboard"/>
    <w:autoRedefine/>
    <w:qFormat/>
    <w:uiPriority w:val="99"/>
    <w:rPr>
      <w:rFonts w:ascii="monospace" w:hAnsi="monospace" w:eastAsia="monospace" w:cs="monospace"/>
      <w:sz w:val="20"/>
      <w:shd w:val="clear" w:color="auto" w:fill="F6F7FB"/>
    </w:rPr>
  </w:style>
  <w:style w:type="character" w:styleId="60">
    <w:name w:val="HTML Sample"/>
    <w:basedOn w:val="46"/>
    <w:autoRedefine/>
    <w:qFormat/>
    <w:uiPriority w:val="99"/>
    <w:rPr>
      <w:rFonts w:hint="default" w:ascii="monospace" w:hAnsi="monospace" w:eastAsia="monospace" w:cs="monospace"/>
    </w:rPr>
  </w:style>
  <w:style w:type="table" w:customStyle="1" w:styleId="61">
    <w:name w:val="Table Normal"/>
    <w:autoRedefine/>
    <w:qFormat/>
    <w:uiPriority w:val="2"/>
    <w:tblPr>
      <w:tblCellMar>
        <w:top w:w="0" w:type="dxa"/>
        <w:left w:w="0" w:type="dxa"/>
        <w:bottom w:w="0" w:type="dxa"/>
        <w:right w:w="0" w:type="dxa"/>
      </w:tblCellMar>
    </w:tblPr>
  </w:style>
  <w:style w:type="paragraph" w:customStyle="1" w:styleId="62">
    <w:name w:val="目录 11"/>
    <w:basedOn w:val="1"/>
    <w:autoRedefine/>
    <w:qFormat/>
    <w:uiPriority w:val="1"/>
    <w:pPr>
      <w:spacing w:line="272" w:lineRule="exact"/>
      <w:ind w:left="100"/>
    </w:pPr>
    <w:rPr>
      <w:sz w:val="21"/>
      <w:szCs w:val="21"/>
    </w:rPr>
  </w:style>
  <w:style w:type="paragraph" w:customStyle="1" w:styleId="63">
    <w:name w:val="目录 21"/>
    <w:basedOn w:val="1"/>
    <w:autoRedefine/>
    <w:qFormat/>
    <w:uiPriority w:val="1"/>
    <w:pPr>
      <w:spacing w:line="272" w:lineRule="exact"/>
      <w:ind w:left="520"/>
    </w:pPr>
    <w:rPr>
      <w:sz w:val="21"/>
      <w:szCs w:val="21"/>
    </w:rPr>
  </w:style>
  <w:style w:type="paragraph" w:customStyle="1" w:styleId="64">
    <w:name w:val="目录 31"/>
    <w:basedOn w:val="1"/>
    <w:autoRedefine/>
    <w:qFormat/>
    <w:uiPriority w:val="1"/>
    <w:pPr>
      <w:spacing w:line="272" w:lineRule="exact"/>
      <w:ind w:left="940"/>
    </w:pPr>
    <w:rPr>
      <w:sz w:val="21"/>
      <w:szCs w:val="21"/>
    </w:rPr>
  </w:style>
  <w:style w:type="paragraph" w:customStyle="1" w:styleId="65">
    <w:name w:val="标题 11"/>
    <w:basedOn w:val="1"/>
    <w:qFormat/>
    <w:uiPriority w:val="1"/>
    <w:pPr>
      <w:spacing w:before="312" w:beforeLines="100" w:after="312" w:afterLines="100" w:line="480" w:lineRule="auto"/>
      <w:jc w:val="center"/>
      <w:outlineLvl w:val="0"/>
    </w:pPr>
    <w:rPr>
      <w:rFonts w:cs="Microsoft JhengHei"/>
      <w:b/>
      <w:bCs/>
      <w:sz w:val="44"/>
      <w:szCs w:val="44"/>
      <w:lang w:eastAsia="zh-CN"/>
    </w:rPr>
  </w:style>
  <w:style w:type="paragraph" w:customStyle="1" w:styleId="66">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7">
    <w:name w:val="标题 31"/>
    <w:basedOn w:val="1"/>
    <w:autoRedefine/>
    <w:qFormat/>
    <w:uiPriority w:val="1"/>
    <w:pPr>
      <w:ind w:left="237" w:right="108"/>
      <w:outlineLvl w:val="3"/>
    </w:pPr>
    <w:rPr>
      <w:sz w:val="28"/>
      <w:szCs w:val="28"/>
    </w:rPr>
  </w:style>
  <w:style w:type="paragraph" w:customStyle="1" w:styleId="68">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69">
    <w:name w:val="List Paragraph"/>
    <w:basedOn w:val="1"/>
    <w:autoRedefine/>
    <w:qFormat/>
    <w:uiPriority w:val="0"/>
  </w:style>
  <w:style w:type="paragraph" w:customStyle="1" w:styleId="70">
    <w:name w:val="Table Paragraph"/>
    <w:basedOn w:val="1"/>
    <w:autoRedefine/>
    <w:qFormat/>
    <w:uiPriority w:val="1"/>
  </w:style>
  <w:style w:type="character" w:customStyle="1" w:styleId="71">
    <w:name w:val="文档结构图 字符"/>
    <w:basedOn w:val="46"/>
    <w:link w:val="14"/>
    <w:autoRedefine/>
    <w:qFormat/>
    <w:uiPriority w:val="99"/>
    <w:rPr>
      <w:rFonts w:ascii="宋体" w:hAnsi="宋体" w:eastAsia="宋体" w:cs="宋体"/>
      <w:sz w:val="18"/>
      <w:szCs w:val="18"/>
    </w:rPr>
  </w:style>
  <w:style w:type="character" w:customStyle="1" w:styleId="72">
    <w:name w:val="页眉 字符"/>
    <w:basedOn w:val="46"/>
    <w:link w:val="30"/>
    <w:autoRedefine/>
    <w:qFormat/>
    <w:uiPriority w:val="99"/>
    <w:rPr>
      <w:rFonts w:ascii="宋体" w:hAnsi="宋体" w:cs="宋体"/>
      <w:sz w:val="18"/>
      <w:szCs w:val="18"/>
      <w:lang w:eastAsia="en-US"/>
    </w:rPr>
  </w:style>
  <w:style w:type="character" w:customStyle="1" w:styleId="73">
    <w:name w:val="页脚 字符"/>
    <w:basedOn w:val="46"/>
    <w:link w:val="29"/>
    <w:autoRedefine/>
    <w:qFormat/>
    <w:uiPriority w:val="99"/>
    <w:rPr>
      <w:rFonts w:ascii="宋体" w:hAnsi="宋体" w:eastAsia="宋体" w:cs="宋体"/>
      <w:sz w:val="18"/>
      <w:szCs w:val="18"/>
    </w:rPr>
  </w:style>
  <w:style w:type="character" w:customStyle="1" w:styleId="74">
    <w:name w:val="批注框文本 字符"/>
    <w:basedOn w:val="46"/>
    <w:link w:val="28"/>
    <w:autoRedefine/>
    <w:qFormat/>
    <w:uiPriority w:val="0"/>
    <w:rPr>
      <w:rFonts w:ascii="宋体" w:hAnsi="宋体" w:eastAsia="宋体" w:cs="宋体"/>
      <w:sz w:val="18"/>
      <w:szCs w:val="18"/>
    </w:rPr>
  </w:style>
  <w:style w:type="character" w:customStyle="1" w:styleId="75">
    <w:name w:val="正文文本 字符"/>
    <w:basedOn w:val="46"/>
    <w:link w:val="17"/>
    <w:autoRedefine/>
    <w:qFormat/>
    <w:uiPriority w:val="0"/>
    <w:rPr>
      <w:rFonts w:ascii="宋体" w:hAnsi="宋体" w:eastAsia="宋体" w:cs="宋体"/>
      <w:sz w:val="21"/>
      <w:szCs w:val="21"/>
    </w:rPr>
  </w:style>
  <w:style w:type="character" w:customStyle="1" w:styleId="76">
    <w:name w:val="标题 3 字符"/>
    <w:basedOn w:val="46"/>
    <w:link w:val="4"/>
    <w:autoRedefine/>
    <w:qFormat/>
    <w:uiPriority w:val="0"/>
    <w:rPr>
      <w:rFonts w:ascii="黑体" w:hAnsi="宋体" w:eastAsia="黑体" w:cs="Times New Roman"/>
      <w:bCs/>
      <w:sz w:val="28"/>
      <w:szCs w:val="28"/>
    </w:rPr>
  </w:style>
  <w:style w:type="character" w:customStyle="1" w:styleId="77">
    <w:name w:val="标题 2 字符"/>
    <w:basedOn w:val="46"/>
    <w:link w:val="3"/>
    <w:autoRedefine/>
    <w:qFormat/>
    <w:uiPriority w:val="0"/>
    <w:rPr>
      <w:rFonts w:ascii="Cambria" w:hAnsi="Cambria" w:eastAsia="宋体" w:cs="宋体"/>
      <w:b/>
      <w:bCs/>
      <w:sz w:val="32"/>
      <w:szCs w:val="32"/>
    </w:rPr>
  </w:style>
  <w:style w:type="character" w:customStyle="1" w:styleId="78">
    <w:name w:val="日期 字符"/>
    <w:basedOn w:val="46"/>
    <w:link w:val="26"/>
    <w:autoRedefine/>
    <w:qFormat/>
    <w:uiPriority w:val="0"/>
    <w:rPr>
      <w:rFonts w:ascii="宋体" w:hAnsi="宋体" w:eastAsia="宋体" w:cs="宋体"/>
    </w:rPr>
  </w:style>
  <w:style w:type="character" w:customStyle="1" w:styleId="79">
    <w:name w:val="纯文本 字符"/>
    <w:link w:val="24"/>
    <w:autoRedefine/>
    <w:qFormat/>
    <w:uiPriority w:val="0"/>
    <w:rPr>
      <w:rFonts w:ascii="宋体" w:hAnsi="Courier New" w:eastAsia="宋体"/>
      <w:kern w:val="2"/>
      <w:sz w:val="21"/>
      <w:lang w:eastAsia="zh-CN"/>
    </w:rPr>
  </w:style>
  <w:style w:type="character" w:customStyle="1" w:styleId="80">
    <w:name w:val="纯文本 Char1"/>
    <w:basedOn w:val="46"/>
    <w:autoRedefine/>
    <w:qFormat/>
    <w:uiPriority w:val="99"/>
    <w:rPr>
      <w:rFonts w:ascii="宋体" w:hAnsi="Courier New" w:eastAsia="宋体" w:cs="Courier New"/>
      <w:sz w:val="21"/>
      <w:szCs w:val="21"/>
    </w:rPr>
  </w:style>
  <w:style w:type="paragraph" w:customStyle="1" w:styleId="81">
    <w:name w:val="_Style 36"/>
    <w:autoRedefine/>
    <w:qFormat/>
    <w:uiPriority w:val="0"/>
    <w:pPr>
      <w:widowControl w:val="0"/>
    </w:pPr>
    <w:rPr>
      <w:rFonts w:ascii="宋体" w:hAnsi="宋体" w:eastAsia="宋体" w:cs="宋体"/>
      <w:sz w:val="22"/>
      <w:szCs w:val="22"/>
      <w:lang w:val="en-US" w:eastAsia="en-US" w:bidi="ar-SA"/>
    </w:rPr>
  </w:style>
  <w:style w:type="character" w:customStyle="1" w:styleId="82">
    <w:name w:val="批注文字 字符"/>
    <w:basedOn w:val="46"/>
    <w:link w:val="15"/>
    <w:autoRedefine/>
    <w:qFormat/>
    <w:uiPriority w:val="0"/>
    <w:rPr>
      <w:rFonts w:ascii="宋体" w:hAnsi="宋体" w:eastAsia="宋体" w:cs="宋体"/>
    </w:rPr>
  </w:style>
  <w:style w:type="character" w:customStyle="1" w:styleId="83">
    <w:name w:val="批注主题 字符"/>
    <w:basedOn w:val="82"/>
    <w:link w:val="41"/>
    <w:autoRedefine/>
    <w:qFormat/>
    <w:uiPriority w:val="0"/>
    <w:rPr>
      <w:rFonts w:ascii="宋体" w:hAnsi="宋体" w:eastAsia="宋体" w:cs="宋体"/>
      <w:b/>
      <w:bCs/>
    </w:rPr>
  </w:style>
  <w:style w:type="character" w:customStyle="1" w:styleId="84">
    <w:name w:val="正文文本 3 字符"/>
    <w:basedOn w:val="46"/>
    <w:link w:val="16"/>
    <w:autoRedefine/>
    <w:qFormat/>
    <w:uiPriority w:val="0"/>
    <w:rPr>
      <w:rFonts w:ascii="宋体" w:hAnsi="宋体" w:eastAsia="宋体" w:cs="宋体"/>
      <w:sz w:val="16"/>
      <w:szCs w:val="16"/>
    </w:rPr>
  </w:style>
  <w:style w:type="paragraph" w:customStyle="1" w:styleId="8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6">
    <w:name w:val="标题 4 字符"/>
    <w:basedOn w:val="46"/>
    <w:link w:val="5"/>
    <w:autoRedefine/>
    <w:qFormat/>
    <w:uiPriority w:val="0"/>
    <w:rPr>
      <w:rFonts w:ascii="Cambria" w:hAnsi="Cambria" w:eastAsia="宋体" w:cs="宋体"/>
      <w:b/>
      <w:bCs/>
      <w:sz w:val="28"/>
      <w:szCs w:val="28"/>
    </w:rPr>
  </w:style>
  <w:style w:type="paragraph" w:customStyle="1" w:styleId="87">
    <w:name w:val="TOC 标题1"/>
    <w:basedOn w:val="2"/>
    <w:next w:val="1"/>
    <w:autoRedefine/>
    <w:qFormat/>
    <w:uiPriority w:val="0"/>
    <w:pPr>
      <w:spacing w:before="0" w:after="0" w:line="576" w:lineRule="auto"/>
      <w:outlineLvl w:val="9"/>
    </w:pPr>
  </w:style>
  <w:style w:type="character" w:customStyle="1" w:styleId="88">
    <w:name w:val="标题 1 字符"/>
    <w:basedOn w:val="46"/>
    <w:link w:val="2"/>
    <w:autoRedefine/>
    <w:qFormat/>
    <w:uiPriority w:val="0"/>
    <w:rPr>
      <w:rFonts w:ascii="宋体" w:hAnsi="宋体" w:eastAsia="宋体" w:cs="宋体"/>
      <w:b/>
      <w:bCs/>
      <w:kern w:val="44"/>
      <w:sz w:val="44"/>
      <w:szCs w:val="44"/>
    </w:rPr>
  </w:style>
  <w:style w:type="character" w:customStyle="1" w:styleId="89">
    <w:name w:val="标题 5 字符"/>
    <w:basedOn w:val="46"/>
    <w:link w:val="6"/>
    <w:autoRedefine/>
    <w:qFormat/>
    <w:uiPriority w:val="0"/>
    <w:rPr>
      <w:rFonts w:ascii="宋体" w:hAnsi="宋体" w:eastAsia="宋体" w:cs="宋体"/>
      <w:b/>
      <w:bCs/>
      <w:sz w:val="28"/>
      <w:szCs w:val="28"/>
    </w:rPr>
  </w:style>
  <w:style w:type="character" w:customStyle="1" w:styleId="90">
    <w:name w:val="正文文本缩进 2 字符"/>
    <w:basedOn w:val="46"/>
    <w:link w:val="27"/>
    <w:autoRedefine/>
    <w:qFormat/>
    <w:uiPriority w:val="0"/>
    <w:rPr>
      <w:rFonts w:ascii="宋体" w:hAnsi="宋体" w:eastAsia="宋体" w:cs="宋体"/>
    </w:rPr>
  </w:style>
  <w:style w:type="paragraph" w:customStyle="1" w:styleId="91">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93">
    <w:name w:val="_Style 6"/>
    <w:basedOn w:val="1"/>
    <w:next w:val="69"/>
    <w:autoRedefine/>
    <w:qFormat/>
    <w:uiPriority w:val="34"/>
    <w:pPr>
      <w:ind w:firstLine="420" w:firstLineChars="200"/>
    </w:pPr>
    <w:rPr>
      <w:rFonts w:ascii="Times New Roman" w:hAnsi="Times New Roman" w:cs="Times New Roman"/>
      <w:szCs w:val="24"/>
    </w:rPr>
  </w:style>
  <w:style w:type="character" w:customStyle="1" w:styleId="94">
    <w:name w:val="标题 8 字符"/>
    <w:basedOn w:val="46"/>
    <w:link w:val="9"/>
    <w:autoRedefine/>
    <w:qFormat/>
    <w:uiPriority w:val="0"/>
    <w:rPr>
      <w:rFonts w:ascii="Cambria" w:hAnsi="Cambria" w:eastAsia="宋体" w:cs="宋体"/>
      <w:sz w:val="24"/>
      <w:szCs w:val="24"/>
      <w:lang w:eastAsia="en-US"/>
    </w:rPr>
  </w:style>
  <w:style w:type="character" w:customStyle="1" w:styleId="95">
    <w:name w:val="引用 Char1"/>
    <w:autoRedefine/>
    <w:qFormat/>
    <w:uiPriority w:val="29"/>
    <w:rPr>
      <w:i/>
      <w:iCs/>
      <w:color w:val="000000"/>
      <w:kern w:val="2"/>
      <w:sz w:val="21"/>
      <w:szCs w:val="24"/>
    </w:rPr>
  </w:style>
  <w:style w:type="character" w:customStyle="1" w:styleId="96">
    <w:name w:val="标题 6 字符"/>
    <w:basedOn w:val="46"/>
    <w:link w:val="7"/>
    <w:autoRedefine/>
    <w:qFormat/>
    <w:uiPriority w:val="0"/>
    <w:rPr>
      <w:rFonts w:ascii="Cambria" w:hAnsi="Cambria"/>
      <w:b/>
      <w:bCs/>
      <w:kern w:val="2"/>
      <w:sz w:val="24"/>
      <w:szCs w:val="24"/>
    </w:rPr>
  </w:style>
  <w:style w:type="character" w:customStyle="1" w:styleId="97">
    <w:name w:val="标题 7 字符"/>
    <w:basedOn w:val="46"/>
    <w:link w:val="8"/>
    <w:autoRedefine/>
    <w:qFormat/>
    <w:uiPriority w:val="0"/>
    <w:rPr>
      <w:rFonts w:ascii="Calibri" w:hAnsi="Calibri"/>
      <w:b/>
      <w:bCs/>
      <w:kern w:val="2"/>
      <w:sz w:val="24"/>
      <w:szCs w:val="24"/>
    </w:rPr>
  </w:style>
  <w:style w:type="character" w:customStyle="1" w:styleId="98">
    <w:name w:val="标题 9 字符"/>
    <w:basedOn w:val="46"/>
    <w:link w:val="10"/>
    <w:autoRedefine/>
    <w:qFormat/>
    <w:uiPriority w:val="0"/>
    <w:rPr>
      <w:rFonts w:ascii="Cambria" w:hAnsi="Cambria"/>
      <w:kern w:val="2"/>
      <w:sz w:val="21"/>
      <w:szCs w:val="21"/>
    </w:rPr>
  </w:style>
  <w:style w:type="table" w:customStyle="1" w:styleId="99">
    <w:name w:val="Table Normal1"/>
    <w:autoRedefine/>
    <w:qFormat/>
    <w:uiPriority w:val="2"/>
    <w:pPr>
      <w:widowControl w:val="0"/>
    </w:pPr>
    <w:rPr>
      <w:rFonts w:ascii="Calibri" w:hAnsi="Calibri" w:cs="宋体"/>
      <w:sz w:val="22"/>
      <w:szCs w:val="22"/>
      <w:lang w:eastAsia="en-US"/>
    </w:rPr>
    <w:tblPr>
      <w:tblCellMar>
        <w:top w:w="0" w:type="dxa"/>
        <w:left w:w="0" w:type="dxa"/>
        <w:bottom w:w="0" w:type="dxa"/>
        <w:right w:w="0" w:type="dxa"/>
      </w:tblCellMar>
    </w:tblPr>
  </w:style>
  <w:style w:type="paragraph" w:customStyle="1" w:styleId="100">
    <w:name w:val="1"/>
    <w:autoRedefine/>
    <w:qFormat/>
    <w:uiPriority w:val="0"/>
    <w:pPr>
      <w:widowControl w:val="0"/>
    </w:pPr>
    <w:rPr>
      <w:rFonts w:ascii="宋体" w:hAnsi="宋体" w:eastAsia="宋体" w:cs="宋体"/>
      <w:sz w:val="22"/>
      <w:szCs w:val="22"/>
      <w:lang w:val="en-US" w:eastAsia="en-US" w:bidi="ar-SA"/>
    </w:rPr>
  </w:style>
  <w:style w:type="table" w:customStyle="1" w:styleId="101">
    <w:name w:val="网格型1"/>
    <w:basedOn w:val="4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TOC 标题2"/>
    <w:basedOn w:val="2"/>
    <w:next w:val="1"/>
    <w:autoRedefine/>
    <w:qFormat/>
    <w:uiPriority w:val="39"/>
    <w:pPr>
      <w:widowControl/>
      <w:spacing w:before="480" w:after="0" w:line="276" w:lineRule="auto"/>
      <w:outlineLvl w:val="9"/>
    </w:pPr>
    <w:rPr>
      <w:rFonts w:ascii="Cambria" w:hAnsi="Cambria"/>
      <w:color w:val="366091"/>
      <w:kern w:val="0"/>
      <w:sz w:val="28"/>
      <w:szCs w:val="28"/>
      <w:lang w:eastAsia="zh-CN"/>
    </w:rPr>
  </w:style>
  <w:style w:type="character" w:customStyle="1" w:styleId="103">
    <w:name w:val="标题5 Char Char"/>
    <w:link w:val="104"/>
    <w:autoRedefine/>
    <w:qFormat/>
    <w:uiPriority w:val="0"/>
    <w:rPr>
      <w:rFonts w:ascii="Arial" w:hAnsi="Arial"/>
      <w:b/>
      <w:bCs/>
      <w:sz w:val="24"/>
      <w:szCs w:val="32"/>
    </w:rPr>
  </w:style>
  <w:style w:type="paragraph" w:customStyle="1" w:styleId="104">
    <w:name w:val="标题5"/>
    <w:basedOn w:val="4"/>
    <w:link w:val="103"/>
    <w:autoRedefine/>
    <w:qFormat/>
    <w:uiPriority w:val="0"/>
    <w:pPr>
      <w:spacing w:line="413" w:lineRule="auto"/>
      <w:ind w:firstLine="0" w:firstLineChars="0"/>
    </w:pPr>
    <w:rPr>
      <w:rFonts w:ascii="Arial" w:hAnsi="Arial" w:eastAsia="宋体"/>
      <w:b/>
      <w:sz w:val="24"/>
      <w:szCs w:val="32"/>
      <w:lang w:eastAsia="zh-CN"/>
    </w:rPr>
  </w:style>
  <w:style w:type="character" w:customStyle="1" w:styleId="105">
    <w:name w:val="标题 字符"/>
    <w:link w:val="40"/>
    <w:autoRedefine/>
    <w:qFormat/>
    <w:uiPriority w:val="0"/>
    <w:rPr>
      <w:rFonts w:ascii="Cambria" w:hAnsi="Cambria"/>
      <w:b/>
      <w:bCs/>
      <w:kern w:val="2"/>
      <w:sz w:val="32"/>
      <w:szCs w:val="32"/>
    </w:rPr>
  </w:style>
  <w:style w:type="character" w:customStyle="1" w:styleId="106">
    <w:name w:val="标题4 Char Char"/>
    <w:link w:val="107"/>
    <w:autoRedefine/>
    <w:qFormat/>
    <w:uiPriority w:val="0"/>
    <w:rPr>
      <w:rFonts w:ascii="Arial" w:hAnsi="Arial"/>
      <w:b/>
      <w:bCs/>
      <w:sz w:val="24"/>
      <w:szCs w:val="32"/>
    </w:rPr>
  </w:style>
  <w:style w:type="paragraph" w:customStyle="1" w:styleId="107">
    <w:name w:val="标题4"/>
    <w:basedOn w:val="3"/>
    <w:next w:val="21"/>
    <w:link w:val="106"/>
    <w:autoRedefine/>
    <w:qFormat/>
    <w:uiPriority w:val="0"/>
    <w:pPr>
      <w:spacing w:line="413" w:lineRule="auto"/>
      <w:jc w:val="both"/>
    </w:pPr>
    <w:rPr>
      <w:rFonts w:ascii="Arial" w:hAnsi="Arial" w:cs="Times New Roman"/>
      <w:sz w:val="24"/>
      <w:lang w:eastAsia="zh-CN"/>
    </w:rPr>
  </w:style>
  <w:style w:type="character" w:customStyle="1" w:styleId="108">
    <w:name w:val="明显引用 字符"/>
    <w:link w:val="109"/>
    <w:autoRedefine/>
    <w:qFormat/>
    <w:uiPriority w:val="0"/>
    <w:rPr>
      <w:b/>
      <w:bCs/>
      <w:i/>
      <w:iCs/>
      <w:color w:val="4F81BD"/>
      <w:kern w:val="2"/>
      <w:sz w:val="21"/>
    </w:rPr>
  </w:style>
  <w:style w:type="paragraph" w:styleId="109">
    <w:name w:val="Intense Quote"/>
    <w:basedOn w:val="1"/>
    <w:next w:val="1"/>
    <w:link w:val="108"/>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10">
    <w:name w:val="明显参考1"/>
    <w:autoRedefine/>
    <w:qFormat/>
    <w:uiPriority w:val="0"/>
    <w:rPr>
      <w:b/>
      <w:bCs/>
      <w:smallCaps/>
      <w:color w:val="C0504D"/>
      <w:spacing w:val="5"/>
      <w:u w:val="single"/>
    </w:rPr>
  </w:style>
  <w:style w:type="character" w:customStyle="1" w:styleId="111">
    <w:name w:val="日期 Char1"/>
    <w:autoRedefine/>
    <w:qFormat/>
    <w:uiPriority w:val="0"/>
    <w:rPr>
      <w:kern w:val="2"/>
      <w:sz w:val="21"/>
      <w:szCs w:val="22"/>
    </w:rPr>
  </w:style>
  <w:style w:type="character" w:customStyle="1" w:styleId="112">
    <w:name w:val="副标题 字符"/>
    <w:link w:val="33"/>
    <w:autoRedefine/>
    <w:qFormat/>
    <w:uiPriority w:val="0"/>
    <w:rPr>
      <w:rFonts w:ascii="Cambria" w:hAnsi="Cambria"/>
      <w:b/>
      <w:bCs/>
      <w:kern w:val="28"/>
      <w:sz w:val="32"/>
      <w:szCs w:val="32"/>
    </w:rPr>
  </w:style>
  <w:style w:type="character" w:customStyle="1" w:styleId="113">
    <w:name w:val="书籍标题1"/>
    <w:autoRedefine/>
    <w:qFormat/>
    <w:uiPriority w:val="0"/>
    <w:rPr>
      <w:b/>
      <w:bCs/>
      <w:smallCaps/>
      <w:spacing w:val="5"/>
    </w:rPr>
  </w:style>
  <w:style w:type="character" w:customStyle="1" w:styleId="114">
    <w:name w:val="正文文本 Char1"/>
    <w:autoRedefine/>
    <w:qFormat/>
    <w:uiPriority w:val="0"/>
    <w:rPr>
      <w:kern w:val="2"/>
      <w:sz w:val="21"/>
      <w:szCs w:val="22"/>
    </w:rPr>
  </w:style>
  <w:style w:type="character" w:customStyle="1" w:styleId="115">
    <w:name w:val="批注主题 Char1"/>
    <w:autoRedefine/>
    <w:qFormat/>
    <w:uiPriority w:val="0"/>
    <w:rPr>
      <w:b/>
      <w:bCs/>
      <w:kern w:val="2"/>
      <w:sz w:val="21"/>
      <w:szCs w:val="22"/>
    </w:rPr>
  </w:style>
  <w:style w:type="character" w:customStyle="1" w:styleId="116">
    <w:name w:val="不明显强调1"/>
    <w:autoRedefine/>
    <w:qFormat/>
    <w:uiPriority w:val="0"/>
    <w:rPr>
      <w:i/>
      <w:iCs/>
      <w:color w:val="808080"/>
    </w:rPr>
  </w:style>
  <w:style w:type="character" w:customStyle="1" w:styleId="117">
    <w:name w:val="批注文字 Char Char"/>
    <w:autoRedefine/>
    <w:qFormat/>
    <w:uiPriority w:val="0"/>
    <w:rPr>
      <w:rFonts w:ascii="宋体" w:hAnsi="Times New Roman" w:eastAsia="宋体" w:cs="Times New Roman"/>
      <w:sz w:val="28"/>
      <w:szCs w:val="20"/>
    </w:rPr>
  </w:style>
  <w:style w:type="character" w:customStyle="1" w:styleId="118">
    <w:name w:val="批注框文本 Char1"/>
    <w:autoRedefine/>
    <w:qFormat/>
    <w:uiPriority w:val="0"/>
    <w:rPr>
      <w:kern w:val="2"/>
      <w:sz w:val="18"/>
      <w:szCs w:val="18"/>
    </w:rPr>
  </w:style>
  <w:style w:type="character" w:customStyle="1" w:styleId="119">
    <w:name w:val="明显强调1"/>
    <w:autoRedefine/>
    <w:qFormat/>
    <w:uiPriority w:val="0"/>
    <w:rPr>
      <w:b/>
      <w:bCs/>
      <w:i/>
      <w:iCs/>
      <w:color w:val="4F81BD"/>
    </w:rPr>
  </w:style>
  <w:style w:type="character" w:customStyle="1" w:styleId="120">
    <w:name w:val="textcontents"/>
    <w:autoRedefine/>
    <w:qFormat/>
    <w:uiPriority w:val="0"/>
    <w:rPr>
      <w:rFonts w:cs="Times New Roman"/>
    </w:rPr>
  </w:style>
  <w:style w:type="character" w:customStyle="1" w:styleId="121">
    <w:name w:val="文档结构图 Char1"/>
    <w:autoRedefine/>
    <w:qFormat/>
    <w:uiPriority w:val="0"/>
    <w:rPr>
      <w:rFonts w:ascii="宋体"/>
      <w:kern w:val="2"/>
      <w:sz w:val="18"/>
      <w:szCs w:val="18"/>
    </w:rPr>
  </w:style>
  <w:style w:type="character" w:customStyle="1" w:styleId="122">
    <w:name w:val="引用 字符"/>
    <w:link w:val="123"/>
    <w:autoRedefine/>
    <w:qFormat/>
    <w:uiPriority w:val="0"/>
    <w:rPr>
      <w:i/>
      <w:iCs/>
      <w:color w:val="000000"/>
      <w:kern w:val="2"/>
      <w:sz w:val="21"/>
    </w:rPr>
  </w:style>
  <w:style w:type="paragraph" w:styleId="123">
    <w:name w:val="Quote"/>
    <w:basedOn w:val="1"/>
    <w:next w:val="1"/>
    <w:link w:val="122"/>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4">
    <w:name w:val="不明显参考1"/>
    <w:autoRedefine/>
    <w:qFormat/>
    <w:uiPriority w:val="0"/>
    <w:rPr>
      <w:smallCaps/>
      <w:color w:val="C0504D"/>
      <w:u w:val="single"/>
    </w:rPr>
  </w:style>
  <w:style w:type="paragraph" w:customStyle="1" w:styleId="125">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7">
    <w:name w:val="引用 Char2"/>
    <w:basedOn w:val="46"/>
    <w:autoRedefine/>
    <w:qFormat/>
    <w:uiPriority w:val="99"/>
    <w:rPr>
      <w:rFonts w:ascii="宋体" w:hAnsi="宋体" w:cs="宋体"/>
      <w:i/>
      <w:iCs/>
      <w:color w:val="000000"/>
      <w:sz w:val="22"/>
      <w:szCs w:val="22"/>
      <w:lang w:eastAsia="en-US"/>
    </w:rPr>
  </w:style>
  <w:style w:type="paragraph" w:customStyle="1" w:styleId="128">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eastAsia="黑体"/>
      <w:b w:val="0"/>
      <w:bCs w:val="0"/>
      <w:sz w:val="28"/>
      <w:szCs w:val="20"/>
    </w:rPr>
  </w:style>
  <w:style w:type="paragraph" w:customStyle="1" w:styleId="129">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30">
    <w:name w:val="明显引用 Char1"/>
    <w:basedOn w:val="46"/>
    <w:autoRedefine/>
    <w:qFormat/>
    <w:uiPriority w:val="30"/>
    <w:rPr>
      <w:rFonts w:ascii="宋体" w:hAnsi="宋体" w:cs="宋体"/>
      <w:b/>
      <w:bCs/>
      <w:i/>
      <w:iCs/>
      <w:color w:val="4F81BD"/>
      <w:sz w:val="22"/>
      <w:szCs w:val="22"/>
      <w:lang w:eastAsia="en-US"/>
    </w:rPr>
  </w:style>
  <w:style w:type="paragraph" w:styleId="13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3">
    <w:name w:val="副标题 Char1"/>
    <w:basedOn w:val="46"/>
    <w:autoRedefine/>
    <w:qFormat/>
    <w:uiPriority w:val="11"/>
    <w:rPr>
      <w:rFonts w:ascii="Cambria" w:hAnsi="Cambria" w:cs="宋体"/>
      <w:b/>
      <w:bCs/>
      <w:kern w:val="28"/>
      <w:sz w:val="32"/>
      <w:szCs w:val="32"/>
      <w:lang w:eastAsia="en-US"/>
    </w:rPr>
  </w:style>
  <w:style w:type="character" w:customStyle="1" w:styleId="134">
    <w:name w:val="标题 Char1"/>
    <w:basedOn w:val="46"/>
    <w:autoRedefine/>
    <w:qFormat/>
    <w:uiPriority w:val="10"/>
    <w:rPr>
      <w:rFonts w:ascii="Cambria" w:hAnsi="Cambria" w:cs="宋体"/>
      <w:b/>
      <w:bCs/>
      <w:sz w:val="32"/>
      <w:szCs w:val="32"/>
      <w:lang w:eastAsia="en-US"/>
    </w:rPr>
  </w:style>
  <w:style w:type="paragraph" w:customStyle="1" w:styleId="135">
    <w:name w:val="Normal_5"/>
    <w:autoRedefine/>
    <w:qFormat/>
    <w:uiPriority w:val="0"/>
    <w:rPr>
      <w:rFonts w:ascii="黑体" w:hAnsi="黑体" w:eastAsia="黑体" w:cs="Times New Roman"/>
      <w:b/>
      <w:sz w:val="32"/>
      <w:szCs w:val="24"/>
      <w:lang w:val="en-US" w:eastAsia="zh-CN" w:bidi="ar-SA"/>
    </w:rPr>
  </w:style>
  <w:style w:type="paragraph" w:customStyle="1" w:styleId="136">
    <w:name w:val="纯文本2"/>
    <w:basedOn w:val="1"/>
    <w:autoRedefine/>
    <w:qFormat/>
    <w:uiPriority w:val="0"/>
    <w:pPr>
      <w:jc w:val="both"/>
    </w:pPr>
    <w:rPr>
      <w:rFonts w:hAnsi="Courier New" w:cs="Times New Roman"/>
      <w:kern w:val="2"/>
      <w:sz w:val="28"/>
      <w:lang w:eastAsia="zh-CN"/>
    </w:rPr>
  </w:style>
  <w:style w:type="character" w:customStyle="1" w:styleId="137">
    <w:name w:val="正文文本首行缩进 字符"/>
    <w:basedOn w:val="75"/>
    <w:link w:val="42"/>
    <w:autoRedefine/>
    <w:qFormat/>
    <w:uiPriority w:val="0"/>
    <w:rPr>
      <w:rFonts w:ascii="仿宋_GB2312" w:hAnsi="宋体" w:eastAsia="仿宋_GB2312" w:cs="宋体"/>
      <w:sz w:val="30"/>
      <w:szCs w:val="30"/>
      <w:lang w:eastAsia="en-US"/>
    </w:rPr>
  </w:style>
  <w:style w:type="paragraph" w:customStyle="1" w:styleId="138">
    <w:name w:val="目录 71"/>
    <w:basedOn w:val="1"/>
    <w:next w:val="1"/>
    <w:autoRedefine/>
    <w:qFormat/>
    <w:uiPriority w:val="39"/>
    <w:pPr>
      <w:ind w:left="1320"/>
    </w:pPr>
    <w:rPr>
      <w:rFonts w:ascii="Calibri" w:hAnsi="Calibri" w:cs="Calibri"/>
      <w:sz w:val="18"/>
      <w:szCs w:val="18"/>
    </w:rPr>
  </w:style>
  <w:style w:type="paragraph" w:customStyle="1" w:styleId="139">
    <w:name w:val="目录 51"/>
    <w:basedOn w:val="1"/>
    <w:next w:val="1"/>
    <w:autoRedefine/>
    <w:qFormat/>
    <w:uiPriority w:val="39"/>
    <w:pPr>
      <w:ind w:left="880"/>
    </w:pPr>
    <w:rPr>
      <w:rFonts w:ascii="Calibri" w:hAnsi="Calibri" w:cs="Calibri"/>
      <w:sz w:val="18"/>
      <w:szCs w:val="18"/>
    </w:rPr>
  </w:style>
  <w:style w:type="paragraph" w:customStyle="1" w:styleId="140">
    <w:name w:val="纯文本1"/>
    <w:basedOn w:val="1"/>
    <w:next w:val="24"/>
    <w:autoRedefine/>
    <w:qFormat/>
    <w:uiPriority w:val="0"/>
    <w:pPr>
      <w:jc w:val="both"/>
    </w:pPr>
    <w:rPr>
      <w:rFonts w:hAnsi="Courier New" w:cs="Times New Roman"/>
      <w:kern w:val="2"/>
      <w:sz w:val="21"/>
      <w:lang w:eastAsia="zh-CN"/>
    </w:rPr>
  </w:style>
  <w:style w:type="paragraph" w:customStyle="1" w:styleId="141">
    <w:name w:val="目录 81"/>
    <w:basedOn w:val="1"/>
    <w:next w:val="1"/>
    <w:autoRedefine/>
    <w:qFormat/>
    <w:uiPriority w:val="39"/>
    <w:pPr>
      <w:ind w:left="1540"/>
    </w:pPr>
    <w:rPr>
      <w:rFonts w:ascii="Calibri" w:hAnsi="Calibri" w:cs="Calibri"/>
      <w:sz w:val="18"/>
      <w:szCs w:val="18"/>
    </w:rPr>
  </w:style>
  <w:style w:type="paragraph" w:customStyle="1" w:styleId="142">
    <w:name w:val="目录 41"/>
    <w:basedOn w:val="1"/>
    <w:next w:val="1"/>
    <w:autoRedefine/>
    <w:qFormat/>
    <w:uiPriority w:val="39"/>
    <w:pPr>
      <w:ind w:left="660"/>
    </w:pPr>
    <w:rPr>
      <w:rFonts w:ascii="Calibri" w:hAnsi="Calibri" w:cs="Calibri"/>
      <w:sz w:val="18"/>
      <w:szCs w:val="18"/>
    </w:rPr>
  </w:style>
  <w:style w:type="paragraph" w:customStyle="1" w:styleId="143">
    <w:name w:val="目录 61"/>
    <w:basedOn w:val="1"/>
    <w:next w:val="1"/>
    <w:autoRedefine/>
    <w:qFormat/>
    <w:uiPriority w:val="39"/>
    <w:pPr>
      <w:ind w:left="1100"/>
    </w:pPr>
    <w:rPr>
      <w:rFonts w:ascii="Calibri" w:hAnsi="Calibri" w:cs="Calibri"/>
      <w:sz w:val="18"/>
      <w:szCs w:val="18"/>
    </w:rPr>
  </w:style>
  <w:style w:type="paragraph" w:customStyle="1" w:styleId="144">
    <w:name w:val="目录 91"/>
    <w:basedOn w:val="1"/>
    <w:next w:val="1"/>
    <w:autoRedefine/>
    <w:qFormat/>
    <w:uiPriority w:val="39"/>
    <w:pPr>
      <w:ind w:left="1760"/>
    </w:pPr>
    <w:rPr>
      <w:rFonts w:ascii="Calibri" w:hAnsi="Calibri" w:cs="Calibri"/>
      <w:sz w:val="18"/>
      <w:szCs w:val="18"/>
    </w:rPr>
  </w:style>
  <w:style w:type="table" w:customStyle="1" w:styleId="145">
    <w:name w:val="网格型2"/>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访问过的超链接1"/>
    <w:basedOn w:val="46"/>
    <w:autoRedefine/>
    <w:qFormat/>
    <w:uiPriority w:val="99"/>
    <w:rPr>
      <w:color w:val="800080"/>
      <w:u w:val="single"/>
    </w:rPr>
  </w:style>
  <w:style w:type="character" w:customStyle="1" w:styleId="147">
    <w:name w:val="超链接1"/>
    <w:basedOn w:val="46"/>
    <w:autoRedefine/>
    <w:qFormat/>
    <w:uiPriority w:val="99"/>
    <w:rPr>
      <w:color w:val="0000FF"/>
      <w:u w:val="single"/>
    </w:rPr>
  </w:style>
  <w:style w:type="table" w:customStyle="1" w:styleId="148">
    <w:name w:val="Table Normal2"/>
    <w:autoRedefine/>
    <w:qFormat/>
    <w:uiPriority w:val="2"/>
    <w:tblPr>
      <w:tblCellMar>
        <w:top w:w="0" w:type="dxa"/>
        <w:left w:w="0" w:type="dxa"/>
        <w:bottom w:w="0" w:type="dxa"/>
        <w:right w:w="0" w:type="dxa"/>
      </w:tblCellMar>
    </w:tblPr>
  </w:style>
  <w:style w:type="character" w:customStyle="1" w:styleId="149">
    <w:name w:val="hover"/>
    <w:basedOn w:val="46"/>
    <w:autoRedefine/>
    <w:qFormat/>
    <w:uiPriority w:val="0"/>
    <w:rPr>
      <w:shd w:val="clear" w:color="auto" w:fill="EEEEEE"/>
    </w:rPr>
  </w:style>
  <w:style w:type="character" w:customStyle="1" w:styleId="150">
    <w:name w:val="old"/>
    <w:basedOn w:val="46"/>
    <w:autoRedefine/>
    <w:qFormat/>
    <w:uiPriority w:val="0"/>
    <w:rPr>
      <w:color w:val="999999"/>
    </w:rPr>
  </w:style>
  <w:style w:type="character" w:customStyle="1" w:styleId="151">
    <w:name w:val="glyphicon"/>
    <w:basedOn w:val="46"/>
    <w:autoRedefine/>
    <w:qFormat/>
    <w:uiPriority w:val="0"/>
  </w:style>
  <w:style w:type="character" w:customStyle="1" w:styleId="152">
    <w:name w:val="hour_am"/>
    <w:basedOn w:val="46"/>
    <w:autoRedefine/>
    <w:qFormat/>
    <w:uiPriority w:val="0"/>
  </w:style>
  <w:style w:type="character" w:customStyle="1" w:styleId="153">
    <w:name w:val="hour_pm"/>
    <w:basedOn w:val="46"/>
    <w:autoRedefine/>
    <w:qFormat/>
    <w:uiPriority w:val="0"/>
  </w:style>
  <w:style w:type="character" w:customStyle="1" w:styleId="154">
    <w:name w:val="纯文本 Char2"/>
    <w:basedOn w:val="46"/>
    <w:autoRedefine/>
    <w:qFormat/>
    <w:uiPriority w:val="99"/>
    <w:rPr>
      <w:rFonts w:ascii="宋体" w:hAnsi="Courier New" w:eastAsia="宋体" w:cs="Courier New"/>
      <w:szCs w:val="21"/>
    </w:rPr>
  </w:style>
  <w:style w:type="character" w:customStyle="1" w:styleId="155">
    <w:name w:val="标题 2 Char1"/>
    <w:basedOn w:val="46"/>
    <w:autoRedefine/>
    <w:qFormat/>
    <w:uiPriority w:val="9"/>
    <w:rPr>
      <w:rFonts w:ascii="Cambria" w:hAnsi="Cambria" w:eastAsia="宋体" w:cs="Times New Roman"/>
      <w:b/>
      <w:bCs/>
      <w:sz w:val="32"/>
      <w:szCs w:val="32"/>
    </w:rPr>
  </w:style>
  <w:style w:type="character" w:customStyle="1" w:styleId="156">
    <w:name w:val="标题 4 Char1"/>
    <w:basedOn w:val="46"/>
    <w:autoRedefine/>
    <w:qFormat/>
    <w:uiPriority w:val="9"/>
    <w:rPr>
      <w:rFonts w:ascii="Cambria" w:hAnsi="Cambria" w:eastAsia="宋体" w:cs="Times New Roman"/>
      <w:b/>
      <w:bCs/>
      <w:sz w:val="28"/>
      <w:szCs w:val="28"/>
    </w:rPr>
  </w:style>
  <w:style w:type="paragraph" w:customStyle="1" w:styleId="157">
    <w:name w:val="Normal_1"/>
    <w:autoRedefine/>
    <w:qFormat/>
    <w:uiPriority w:val="0"/>
    <w:rPr>
      <w:rFonts w:ascii="黑体" w:hAnsi="黑体" w:eastAsia="黑体" w:cs="Times New Roman"/>
      <w:b/>
      <w:sz w:val="32"/>
      <w:szCs w:val="24"/>
      <w:lang w:val="en-US" w:eastAsia="zh-CN" w:bidi="ar-SA"/>
    </w:rPr>
  </w:style>
  <w:style w:type="paragraph" w:customStyle="1" w:styleId="158">
    <w:name w:val="Normal_11"/>
    <w:autoRedefine/>
    <w:qFormat/>
    <w:uiPriority w:val="0"/>
    <w:rPr>
      <w:rFonts w:ascii="黑体" w:hAnsi="黑体" w:eastAsia="黑体" w:cs="Times New Roman"/>
      <w:b/>
      <w:sz w:val="32"/>
      <w:szCs w:val="24"/>
      <w:lang w:val="en-US" w:eastAsia="zh-CN" w:bidi="ar-SA"/>
    </w:rPr>
  </w:style>
  <w:style w:type="paragraph" w:customStyle="1" w:styleId="159">
    <w:name w:val="纯文本1_0_0"/>
    <w:basedOn w:val="1"/>
    <w:autoRedefine/>
    <w:qFormat/>
    <w:uiPriority w:val="0"/>
    <w:pPr>
      <w:jc w:val="both"/>
    </w:pPr>
    <w:rPr>
      <w:rFonts w:hAnsi="Courier New" w:cs="Times New Roman"/>
      <w:kern w:val="2"/>
      <w:sz w:val="28"/>
      <w:szCs w:val="24"/>
      <w:lang w:eastAsia="zh-CN"/>
    </w:rPr>
  </w:style>
  <w:style w:type="paragraph" w:customStyle="1" w:styleId="160">
    <w:name w:val="Normal_12"/>
    <w:autoRedefine/>
    <w:qFormat/>
    <w:uiPriority w:val="0"/>
    <w:rPr>
      <w:rFonts w:ascii="黑体" w:hAnsi="黑体" w:eastAsia="黑体" w:cs="Times New Roman"/>
      <w:b/>
      <w:sz w:val="32"/>
      <w:szCs w:val="24"/>
      <w:lang w:val="en-US" w:eastAsia="zh-CN" w:bidi="ar-SA"/>
    </w:rPr>
  </w:style>
  <w:style w:type="paragraph" w:customStyle="1" w:styleId="161">
    <w:name w:val="p"/>
    <w:basedOn w:val="1"/>
    <w:autoRedefine/>
    <w:qFormat/>
    <w:uiPriority w:val="0"/>
    <w:pPr>
      <w:widowControl/>
      <w:spacing w:before="100" w:beforeAutospacing="1" w:after="100" w:afterAutospacing="1"/>
    </w:pPr>
    <w:rPr>
      <w:sz w:val="24"/>
      <w:szCs w:val="24"/>
      <w:lang w:eastAsia="zh-CN"/>
    </w:rPr>
  </w:style>
  <w:style w:type="paragraph" w:customStyle="1" w:styleId="162">
    <w:name w:val="_Style 35"/>
    <w:autoRedefine/>
    <w:qFormat/>
    <w:uiPriority w:val="0"/>
    <w:pPr>
      <w:widowControl w:val="0"/>
    </w:pPr>
    <w:rPr>
      <w:rFonts w:ascii="宋体" w:hAnsi="宋体" w:eastAsia="宋体" w:cs="宋体"/>
      <w:sz w:val="22"/>
      <w:szCs w:val="22"/>
      <w:lang w:val="en-US" w:eastAsia="en-US" w:bidi="ar-SA"/>
    </w:rPr>
  </w:style>
  <w:style w:type="character" w:customStyle="1" w:styleId="163">
    <w:name w:val="正文文本缩进 3 字符"/>
    <w:basedOn w:val="46"/>
    <w:link w:val="35"/>
    <w:autoRedefine/>
    <w:qFormat/>
    <w:uiPriority w:val="0"/>
    <w:rPr>
      <w:rFonts w:ascii="宋体" w:hAnsi="宋体"/>
      <w:sz w:val="16"/>
      <w:szCs w:val="16"/>
    </w:rPr>
  </w:style>
  <w:style w:type="character" w:customStyle="1" w:styleId="164">
    <w:name w:val="正文文本缩进 字符"/>
    <w:basedOn w:val="46"/>
    <w:link w:val="18"/>
    <w:autoRedefine/>
    <w:qFormat/>
    <w:uiPriority w:val="0"/>
    <w:rPr>
      <w:rFonts w:ascii="宋体" w:hAnsi="宋体" w:cs="宋体"/>
      <w:sz w:val="22"/>
      <w:szCs w:val="22"/>
      <w:lang w:eastAsia="en-US"/>
    </w:rPr>
  </w:style>
  <w:style w:type="character" w:customStyle="1" w:styleId="165">
    <w:name w:val="正文文本首行缩进 2 字符"/>
    <w:basedOn w:val="164"/>
    <w:link w:val="43"/>
    <w:autoRedefine/>
    <w:qFormat/>
    <w:uiPriority w:val="99"/>
    <w:rPr>
      <w:rFonts w:ascii="宋体" w:hAnsi="宋体" w:cs="宋体"/>
      <w:sz w:val="22"/>
      <w:szCs w:val="22"/>
      <w:lang w:eastAsia="en-US"/>
    </w:rPr>
  </w:style>
  <w:style w:type="paragraph" w:customStyle="1" w:styleId="166">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Char Char Char Char Char Char Char Char Char1"/>
    <w:basedOn w:val="1"/>
    <w:autoRedefine/>
    <w:qFormat/>
    <w:uiPriority w:val="0"/>
    <w:pPr>
      <w:spacing w:line="360" w:lineRule="auto"/>
      <w:ind w:firstLine="200" w:firstLineChars="200"/>
      <w:jc w:val="both"/>
    </w:pPr>
    <w:rPr>
      <w:kern w:val="2"/>
      <w:sz w:val="24"/>
      <w:szCs w:val="24"/>
      <w:lang w:eastAsia="zh-CN"/>
    </w:rPr>
  </w:style>
  <w:style w:type="character" w:customStyle="1" w:styleId="169">
    <w:name w:val="正文缩进 字符"/>
    <w:link w:val="12"/>
    <w:autoRedefine/>
    <w:qFormat/>
    <w:uiPriority w:val="0"/>
    <w:rPr>
      <w:sz w:val="24"/>
    </w:rPr>
  </w:style>
  <w:style w:type="table" w:customStyle="1" w:styleId="170">
    <w:name w:val="网格型3"/>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apple-converted-space"/>
    <w:autoRedefine/>
    <w:qFormat/>
    <w:uiPriority w:val="0"/>
  </w:style>
  <w:style w:type="character" w:customStyle="1" w:styleId="172">
    <w:name w:val="FA正文 Char"/>
    <w:link w:val="173"/>
    <w:autoRedefine/>
    <w:qFormat/>
    <w:uiPriority w:val="0"/>
    <w:rPr>
      <w:rFonts w:hAnsi="宋体" w:eastAsia="仿宋_GB2312"/>
      <w:kern w:val="2"/>
      <w:sz w:val="24"/>
    </w:rPr>
  </w:style>
  <w:style w:type="paragraph" w:customStyle="1" w:styleId="173">
    <w:name w:val="FA正文"/>
    <w:basedOn w:val="1"/>
    <w:link w:val="172"/>
    <w:autoRedefine/>
    <w:qFormat/>
    <w:uiPriority w:val="0"/>
    <w:pPr>
      <w:tabs>
        <w:tab w:val="left" w:pos="3375"/>
      </w:tabs>
      <w:spacing w:line="360" w:lineRule="auto"/>
      <w:ind w:firstLine="480" w:firstLineChars="200"/>
      <w:jc w:val="both"/>
    </w:pPr>
    <w:rPr>
      <w:rFonts w:ascii="Times New Roman" w:eastAsia="仿宋_GB2312" w:cs="Times New Roman"/>
      <w:kern w:val="2"/>
      <w:sz w:val="24"/>
      <w:szCs w:val="20"/>
      <w:lang w:eastAsia="zh-CN"/>
    </w:rPr>
  </w:style>
  <w:style w:type="character" w:customStyle="1" w:styleId="174">
    <w:name w:val="方案文档 Char"/>
    <w:link w:val="175"/>
    <w:autoRedefine/>
    <w:qFormat/>
    <w:uiPriority w:val="0"/>
    <w:rPr>
      <w:rFonts w:ascii="宋体" w:hAnsi="宋体"/>
      <w:b/>
      <w:spacing w:val="20"/>
      <w:sz w:val="24"/>
      <w:szCs w:val="24"/>
    </w:rPr>
  </w:style>
  <w:style w:type="paragraph" w:customStyle="1" w:styleId="175">
    <w:name w:val="方案文档"/>
    <w:basedOn w:val="1"/>
    <w:link w:val="174"/>
    <w:autoRedefine/>
    <w:qFormat/>
    <w:uiPriority w:val="0"/>
    <w:pPr>
      <w:spacing w:line="360" w:lineRule="auto"/>
      <w:ind w:firstLine="562" w:firstLineChars="200"/>
      <w:jc w:val="both"/>
    </w:pPr>
    <w:rPr>
      <w:rFonts w:cs="Times New Roman"/>
      <w:b/>
      <w:spacing w:val="20"/>
      <w:sz w:val="24"/>
      <w:szCs w:val="24"/>
      <w:lang w:eastAsia="zh-CN"/>
    </w:rPr>
  </w:style>
  <w:style w:type="character" w:customStyle="1" w:styleId="176">
    <w:name w:val="Char Char"/>
    <w:autoRedefine/>
    <w:qFormat/>
    <w:uiPriority w:val="0"/>
    <w:rPr>
      <w:rFonts w:ascii="宋体" w:hAnsi="Courier New" w:eastAsia="宋体"/>
      <w:kern w:val="2"/>
      <w:sz w:val="21"/>
      <w:lang w:val="en-US" w:eastAsia="zh-CN" w:bidi="ar-SA"/>
    </w:rPr>
  </w:style>
  <w:style w:type="character" w:customStyle="1" w:styleId="177">
    <w:name w:val="icon09"/>
    <w:autoRedefine/>
    <w:qFormat/>
    <w:uiPriority w:val="0"/>
  </w:style>
  <w:style w:type="character" w:customStyle="1" w:styleId="178">
    <w:name w:val="icon08"/>
    <w:autoRedefine/>
    <w:qFormat/>
    <w:uiPriority w:val="0"/>
  </w:style>
  <w:style w:type="character" w:customStyle="1" w:styleId="179">
    <w:name w:val="文章正文 Char"/>
    <w:link w:val="180"/>
    <w:autoRedefine/>
    <w:qFormat/>
    <w:uiPriority w:val="0"/>
    <w:rPr>
      <w:rFonts w:hAnsi="Arial"/>
      <w:color w:val="000000"/>
      <w:kern w:val="2"/>
      <w:sz w:val="24"/>
    </w:rPr>
  </w:style>
  <w:style w:type="paragraph" w:customStyle="1" w:styleId="180">
    <w:name w:val="文章正文"/>
    <w:basedOn w:val="1"/>
    <w:link w:val="179"/>
    <w:autoRedefine/>
    <w:qFormat/>
    <w:uiPriority w:val="0"/>
    <w:pPr>
      <w:tabs>
        <w:tab w:val="left" w:pos="3842"/>
        <w:tab w:val="left" w:pos="7020"/>
      </w:tabs>
      <w:adjustRightInd w:val="0"/>
      <w:spacing w:before="120"/>
      <w:ind w:firstLine="539"/>
      <w:jc w:val="both"/>
    </w:pPr>
    <w:rPr>
      <w:rFonts w:ascii="Times New Roman" w:hAnsi="Arial" w:cs="Times New Roman"/>
      <w:color w:val="000000"/>
      <w:kern w:val="2"/>
      <w:sz w:val="24"/>
      <w:szCs w:val="20"/>
      <w:lang w:eastAsia="zh-CN"/>
    </w:rPr>
  </w:style>
  <w:style w:type="character" w:customStyle="1" w:styleId="181">
    <w:name w:val="icon10"/>
    <w:autoRedefine/>
    <w:qFormat/>
    <w:uiPriority w:val="0"/>
  </w:style>
  <w:style w:type="paragraph" w:customStyle="1" w:styleId="182">
    <w:name w:val="Char"/>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183">
    <w:name w:val="_Style 2"/>
    <w:basedOn w:val="1"/>
    <w:autoRedefine/>
    <w:qFormat/>
    <w:uiPriority w:val="0"/>
    <w:pPr>
      <w:ind w:left="720"/>
      <w:contextualSpacing/>
      <w:jc w:val="both"/>
    </w:pPr>
    <w:rPr>
      <w:rFonts w:ascii="Times New Roman" w:hAnsi="Times New Roman" w:cs="Times New Roman"/>
      <w:kern w:val="2"/>
      <w:sz w:val="21"/>
      <w:szCs w:val="24"/>
      <w:lang w:eastAsia="zh-CN"/>
    </w:rPr>
  </w:style>
  <w:style w:type="paragraph" w:customStyle="1" w:styleId="184">
    <w:name w:val="文档正文"/>
    <w:basedOn w:val="1"/>
    <w:autoRedefine/>
    <w:qFormat/>
    <w:uiPriority w:val="0"/>
    <w:pPr>
      <w:adjustRightInd w:val="0"/>
      <w:spacing w:line="480" w:lineRule="atLeast"/>
      <w:ind w:firstLine="567"/>
      <w:jc w:val="both"/>
      <w:textAlignment w:val="baseline"/>
    </w:pPr>
    <w:rPr>
      <w:rFonts w:ascii="仿宋_GB2312" w:hAnsi="Times New Roman" w:eastAsia="仿宋_GB2312" w:cs="Times New Roman"/>
      <w:sz w:val="28"/>
      <w:szCs w:val="20"/>
      <w:lang w:eastAsia="zh-CN"/>
    </w:rPr>
  </w:style>
  <w:style w:type="paragraph" w:customStyle="1" w:styleId="185">
    <w:name w:val="普通正文"/>
    <w:basedOn w:val="1"/>
    <w:autoRedefine/>
    <w:qFormat/>
    <w:uiPriority w:val="0"/>
    <w:pPr>
      <w:adjustRightInd w:val="0"/>
      <w:spacing w:before="120" w:after="120" w:line="360" w:lineRule="auto"/>
      <w:ind w:firstLine="480"/>
      <w:textAlignment w:val="baseline"/>
    </w:pPr>
    <w:rPr>
      <w:rFonts w:ascii="Arial" w:hAnsi="Arial" w:cs="Times New Roman"/>
      <w:sz w:val="24"/>
      <w:szCs w:val="24"/>
      <w:lang w:eastAsia="zh-CN"/>
    </w:rPr>
  </w:style>
  <w:style w:type="paragraph" w:customStyle="1" w:styleId="186">
    <w:name w:val="p16"/>
    <w:basedOn w:val="1"/>
    <w:autoRedefine/>
    <w:qFormat/>
    <w:uiPriority w:val="0"/>
    <w:pPr>
      <w:widowControl/>
      <w:spacing w:before="100" w:beforeAutospacing="1" w:after="100" w:afterAutospacing="1"/>
    </w:pPr>
    <w:rPr>
      <w:sz w:val="24"/>
      <w:szCs w:val="24"/>
      <w:lang w:eastAsia="zh-CN"/>
    </w:rPr>
  </w:style>
  <w:style w:type="paragraph" w:customStyle="1" w:styleId="187">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88">
    <w:name w:val="标题4，章节第四层"/>
    <w:basedOn w:val="1"/>
    <w:next w:val="1"/>
    <w:autoRedefine/>
    <w:qFormat/>
    <w:uiPriority w:val="0"/>
    <w:pPr>
      <w:tabs>
        <w:tab w:val="left" w:pos="0"/>
      </w:tabs>
      <w:spacing w:line="360" w:lineRule="auto"/>
      <w:jc w:val="both"/>
      <w:outlineLvl w:val="3"/>
    </w:pPr>
    <w:rPr>
      <w:rFonts w:cs="Times New Roman"/>
      <w:b/>
      <w:kern w:val="2"/>
      <w:sz w:val="24"/>
      <w:szCs w:val="24"/>
      <w:lang w:eastAsia="zh-CN"/>
    </w:rPr>
  </w:style>
  <w:style w:type="paragraph" w:customStyle="1" w:styleId="189">
    <w:name w:val="Char Char Char Char"/>
    <w:basedOn w:val="14"/>
    <w:autoRedefine/>
    <w:qFormat/>
    <w:uiPriority w:val="0"/>
    <w:pPr>
      <w:shd w:val="clear" w:color="auto" w:fill="000080"/>
      <w:adjustRightInd w:val="0"/>
      <w:snapToGrid w:val="0"/>
      <w:spacing w:line="360" w:lineRule="auto"/>
      <w:jc w:val="both"/>
    </w:pPr>
    <w:rPr>
      <w:rFonts w:ascii="Tahoma" w:hAnsi="Tahoma" w:cs="Times New Roman"/>
      <w:kern w:val="2"/>
      <w:sz w:val="24"/>
      <w:szCs w:val="24"/>
      <w:lang w:eastAsia="zh-CN"/>
    </w:rPr>
  </w:style>
  <w:style w:type="paragraph" w:customStyle="1" w:styleId="190">
    <w:name w:val="Revision_2e7da972-0fe2-436d-a6db-7c732541c064"/>
    <w:autoRedefine/>
    <w:qFormat/>
    <w:uiPriority w:val="99"/>
    <w:rPr>
      <w:rFonts w:ascii="Times New Roman" w:hAnsi="Times New Roman" w:eastAsia="宋体" w:cs="Times New Roman"/>
      <w:kern w:val="2"/>
      <w:sz w:val="28"/>
      <w:lang w:val="en-US" w:eastAsia="zh-CN" w:bidi="ar-SA"/>
    </w:rPr>
  </w:style>
  <w:style w:type="paragraph" w:customStyle="1" w:styleId="191">
    <w:name w:val="lnktxt"/>
    <w:basedOn w:val="1"/>
    <w:autoRedefine/>
    <w:qFormat/>
    <w:uiPriority w:val="0"/>
    <w:pPr>
      <w:widowControl/>
      <w:spacing w:before="100" w:beforeAutospacing="1" w:after="100" w:afterAutospacing="1"/>
    </w:pPr>
    <w:rPr>
      <w:color w:val="0066CC"/>
      <w:sz w:val="24"/>
      <w:szCs w:val="24"/>
      <w:lang w:eastAsia="zh-CN"/>
    </w:rPr>
  </w:style>
  <w:style w:type="paragraph" w:customStyle="1" w:styleId="192">
    <w:name w:val="FA正文+标号"/>
    <w:basedOn w:val="1"/>
    <w:autoRedefine/>
    <w:qFormat/>
    <w:uiPriority w:val="0"/>
    <w:pPr>
      <w:tabs>
        <w:tab w:val="left" w:pos="810"/>
        <w:tab w:val="left" w:pos="3375"/>
      </w:tabs>
      <w:spacing w:line="400" w:lineRule="exact"/>
      <w:ind w:left="810" w:hanging="330"/>
      <w:jc w:val="both"/>
    </w:pPr>
    <w:rPr>
      <w:rFonts w:ascii="仿宋_GB2312" w:eastAsia="仿宋_GB2312" w:cs="Times New Roman"/>
      <w:kern w:val="2"/>
      <w:sz w:val="24"/>
      <w:szCs w:val="24"/>
      <w:lang w:eastAsia="zh-CN"/>
    </w:rPr>
  </w:style>
  <w:style w:type="paragraph" w:customStyle="1" w:styleId="193">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样式4 Char"/>
    <w:basedOn w:val="1"/>
    <w:autoRedefine/>
    <w:qFormat/>
    <w:uiPriority w:val="0"/>
    <w:pPr>
      <w:widowControl/>
      <w:spacing w:line="360" w:lineRule="auto"/>
      <w:ind w:firstLine="480"/>
    </w:pPr>
    <w:rPr>
      <w:rFonts w:ascii="Times New Roman" w:hAnsi="Times New Roman"/>
      <w:color w:val="000000"/>
      <w:sz w:val="24"/>
      <w:szCs w:val="24"/>
      <w:lang w:eastAsia="zh-CN"/>
    </w:rPr>
  </w:style>
  <w:style w:type="paragraph" w:customStyle="1" w:styleId="195">
    <w:name w:val="p15"/>
    <w:basedOn w:val="1"/>
    <w:autoRedefine/>
    <w:qFormat/>
    <w:uiPriority w:val="0"/>
    <w:pPr>
      <w:widowControl/>
      <w:spacing w:before="100" w:beforeAutospacing="1" w:after="100" w:afterAutospacing="1"/>
    </w:pPr>
    <w:rPr>
      <w:sz w:val="24"/>
      <w:szCs w:val="24"/>
      <w:lang w:eastAsia="zh-CN"/>
    </w:rPr>
  </w:style>
  <w:style w:type="paragraph" w:customStyle="1" w:styleId="196">
    <w:name w:val="Char Char Char1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7">
    <w:name w:val="Char Char Char1 Char Char Char Char Char Char Char Char Char Char Char Char Char Char Char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8">
    <w:name w:val="p0"/>
    <w:basedOn w:val="1"/>
    <w:autoRedefine/>
    <w:qFormat/>
    <w:uiPriority w:val="0"/>
    <w:pPr>
      <w:widowControl/>
      <w:spacing w:before="100" w:beforeAutospacing="1" w:after="100" w:afterAutospacing="1"/>
    </w:pPr>
    <w:rPr>
      <w:sz w:val="24"/>
      <w:szCs w:val="24"/>
      <w:lang w:eastAsia="zh-CN"/>
    </w:rPr>
  </w:style>
  <w:style w:type="paragraph" w:customStyle="1" w:styleId="199">
    <w:name w:val="fbk3"/>
    <w:basedOn w:val="1"/>
    <w:autoRedefine/>
    <w:qFormat/>
    <w:uiPriority w:val="0"/>
    <w:pPr>
      <w:widowControl/>
      <w:spacing w:before="100" w:beforeAutospacing="1" w:after="100" w:afterAutospacing="1" w:line="384" w:lineRule="auto"/>
    </w:pPr>
    <w:rPr>
      <w:color w:val="333333"/>
      <w:sz w:val="24"/>
      <w:szCs w:val="24"/>
      <w:lang w:eastAsia="zh-CN"/>
    </w:rPr>
  </w:style>
  <w:style w:type="paragraph" w:customStyle="1" w:styleId="200">
    <w:name w:val="ftip"/>
    <w:basedOn w:val="1"/>
    <w:autoRedefine/>
    <w:qFormat/>
    <w:uiPriority w:val="0"/>
    <w:pPr>
      <w:widowControl/>
      <w:spacing w:before="100" w:beforeAutospacing="1" w:after="100" w:afterAutospacing="1"/>
    </w:pPr>
    <w:rPr>
      <w:sz w:val="17"/>
      <w:szCs w:val="17"/>
      <w:lang w:eastAsia="zh-CN"/>
    </w:rPr>
  </w:style>
  <w:style w:type="paragraph" w:customStyle="1" w:styleId="201">
    <w:name w:val="方案正文"/>
    <w:basedOn w:val="1"/>
    <w:autoRedefine/>
    <w:qFormat/>
    <w:uiPriority w:val="0"/>
    <w:pPr>
      <w:spacing w:line="360" w:lineRule="auto"/>
      <w:jc w:val="both"/>
    </w:pPr>
    <w:rPr>
      <w:rFonts w:ascii="Times New Roman" w:hAnsi="Times New Roman" w:cs="Times New Roman"/>
      <w:kern w:val="2"/>
      <w:sz w:val="24"/>
      <w:szCs w:val="24"/>
      <w:lang w:eastAsia="zh-CN"/>
    </w:rPr>
  </w:style>
  <w:style w:type="paragraph" w:customStyle="1" w:styleId="202">
    <w:name w:val="列出段落1"/>
    <w:basedOn w:val="1"/>
    <w:autoRedefine/>
    <w:qFormat/>
    <w:uiPriority w:val="0"/>
    <w:pPr>
      <w:ind w:firstLine="420" w:firstLineChars="200"/>
      <w:jc w:val="both"/>
    </w:pPr>
    <w:rPr>
      <w:rFonts w:ascii="Times New Roman" w:hAnsi="Times New Roman" w:cs="Times New Roman"/>
      <w:kern w:val="2"/>
      <w:sz w:val="21"/>
      <w:szCs w:val="24"/>
      <w:lang w:eastAsia="zh-CN"/>
    </w:rPr>
  </w:style>
  <w:style w:type="paragraph" w:customStyle="1" w:styleId="203">
    <w:name w:val="样式2"/>
    <w:basedOn w:val="1"/>
    <w:autoRedefine/>
    <w:qFormat/>
    <w:uiPriority w:val="0"/>
    <w:pPr>
      <w:spacing w:line="360" w:lineRule="auto"/>
      <w:ind w:left="200" w:leftChars="200"/>
      <w:jc w:val="both"/>
    </w:pPr>
    <w:rPr>
      <w:rFonts w:cs="Times New Roman"/>
      <w:b/>
      <w:kern w:val="2"/>
      <w:sz w:val="24"/>
      <w:szCs w:val="24"/>
      <w:lang w:eastAsia="zh-CN"/>
    </w:rPr>
  </w:style>
  <w:style w:type="paragraph" w:customStyle="1" w:styleId="204">
    <w:name w:val="TOC Heading_cd5df883-9f3d-4c26-b2d1-82b94d880d1e"/>
    <w:basedOn w:val="2"/>
    <w:next w:val="1"/>
    <w:autoRedefine/>
    <w:qFormat/>
    <w:uiPriority w:val="0"/>
    <w:pPr>
      <w:jc w:val="both"/>
      <w:outlineLvl w:val="9"/>
    </w:pPr>
    <w:rPr>
      <w:rFonts w:ascii="Times New Roman" w:hAnsi="Times New Roman" w:cs="Times New Roman"/>
      <w:lang w:eastAsia="zh-CN"/>
    </w:rPr>
  </w:style>
  <w:style w:type="paragraph" w:customStyle="1" w:styleId="205">
    <w:name w:val="Char Char1"/>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206">
    <w:name w:val="rm_line"/>
    <w:basedOn w:val="1"/>
    <w:autoRedefine/>
    <w:qFormat/>
    <w:uiPriority w:val="0"/>
    <w:pPr>
      <w:widowControl/>
      <w:pBdr>
        <w:top w:val="single" w:color="F1F1F1" w:sz="12" w:space="0"/>
      </w:pBdr>
      <w:spacing w:before="225" w:after="225"/>
    </w:pPr>
    <w:rPr>
      <w:sz w:val="2"/>
      <w:szCs w:val="2"/>
      <w:lang w:eastAsia="zh-CN"/>
    </w:rPr>
  </w:style>
  <w:style w:type="paragraph" w:customStyle="1" w:styleId="207">
    <w:name w:val="Char Char Char1 Char Char Char Char"/>
    <w:basedOn w:val="1"/>
    <w:autoRedefine/>
    <w:qFormat/>
    <w:uiPriority w:val="0"/>
    <w:pPr>
      <w:jc w:val="both"/>
    </w:pPr>
    <w:rPr>
      <w:rFonts w:ascii="Times New Roman" w:hAnsi="Times New Roman" w:eastAsia="仿宋_GB2312" w:cs="Times New Roman"/>
      <w:kern w:val="2"/>
      <w:sz w:val="32"/>
      <w:szCs w:val="20"/>
      <w:lang w:eastAsia="zh-CN"/>
    </w:rPr>
  </w:style>
  <w:style w:type="paragraph" w:customStyle="1" w:styleId="208">
    <w:name w:val="一级条标题"/>
    <w:basedOn w:val="209"/>
    <w:next w:val="210"/>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9">
    <w:name w:val="章标题"/>
    <w:next w:val="1"/>
    <w:autoRedefine/>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10">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1">
    <w:name w:val="样式3"/>
    <w:basedOn w:val="1"/>
    <w:autoRedefine/>
    <w:qFormat/>
    <w:uiPriority w:val="0"/>
    <w:pPr>
      <w:adjustRightInd w:val="0"/>
      <w:snapToGrid w:val="0"/>
      <w:spacing w:line="460" w:lineRule="exact"/>
      <w:ind w:right="1178"/>
    </w:pPr>
    <w:rPr>
      <w:rFonts w:hint="eastAsia"/>
      <w:lang w:eastAsia="zh-CN"/>
    </w:rPr>
  </w:style>
  <w:style w:type="paragraph" w:customStyle="1" w:styleId="212">
    <w:name w:val="样式4"/>
    <w:basedOn w:val="211"/>
    <w:autoRedefine/>
    <w:qFormat/>
    <w:uiPriority w:val="0"/>
  </w:style>
  <w:style w:type="paragraph" w:customStyle="1" w:styleId="213">
    <w:name w:val="Blockquote"/>
    <w:basedOn w:val="1"/>
    <w:autoRedefine/>
    <w:qFormat/>
    <w:uiPriority w:val="0"/>
    <w:pPr>
      <w:autoSpaceDE w:val="0"/>
      <w:autoSpaceDN w:val="0"/>
      <w:adjustRightInd w:val="0"/>
      <w:spacing w:before="100" w:after="100"/>
      <w:ind w:left="360" w:right="360"/>
    </w:pPr>
    <w:rPr>
      <w:sz w:val="24"/>
      <w:szCs w:val="20"/>
    </w:rPr>
  </w:style>
  <w:style w:type="paragraph" w:customStyle="1" w:styleId="214">
    <w:name w:val="Normal_13"/>
    <w:autoRedefine/>
    <w:qFormat/>
    <w:uiPriority w:val="0"/>
    <w:rPr>
      <w:rFonts w:ascii="黑体" w:hAnsi="黑体" w:eastAsia="黑体" w:cs="Times New Roman"/>
      <w:b/>
      <w:sz w:val="32"/>
      <w:szCs w:val="24"/>
      <w:lang w:val="en-US" w:eastAsia="zh-CN" w:bidi="ar-SA"/>
    </w:rPr>
  </w:style>
  <w:style w:type="paragraph" w:customStyle="1" w:styleId="215">
    <w:name w:val="BodyTextIndent"/>
    <w:basedOn w:val="1"/>
    <w:next w:val="216"/>
    <w:autoRedefine/>
    <w:qFormat/>
    <w:uiPriority w:val="0"/>
    <w:pPr>
      <w:spacing w:line="360" w:lineRule="auto"/>
      <w:ind w:firstLine="420"/>
    </w:pPr>
    <w:rPr>
      <w:sz w:val="24"/>
      <w:szCs w:val="20"/>
    </w:rPr>
  </w:style>
  <w:style w:type="paragraph" w:customStyle="1" w:styleId="216">
    <w:name w:val="Envelope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customStyle="1" w:styleId="217">
    <w:name w:val="修订2"/>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39</Pages>
  <Words>17944</Words>
  <Characters>18971</Characters>
  <Lines>190</Lines>
  <Paragraphs>53</Paragraphs>
  <TotalTime>4</TotalTime>
  <ScaleCrop>false</ScaleCrop>
  <LinksUpToDate>false</LinksUpToDate>
  <CharactersWithSpaces>19261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2024-05-12T14:00:00Z</dcterms:created>
  <dc:creator>袁静</dc:creator>
  <cp:lastModifiedBy>桃幺</cp:lastModifiedBy>
  <cp:lastPrinted>2024-06-29T07:05:00Z</cp:lastPrinted>
  <dcterms:modified xsi:type="dcterms:W3CDTF">2025-05-19T08:08:56Z</dcterms:modified>
  <dc:title>中华人民共和国</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2052-12.1.0.21171</vt:lpwstr>
  </property>
  <property fmtid="{D5CDD505-2E9C-101B-9397-08002B2CF9AE}" pid="6" name="ICV">
    <vt:lpwstr>AA25620FF05D4EF894D5C86F3D078F52_13</vt:lpwstr>
  </property>
  <property fmtid="{D5CDD505-2E9C-101B-9397-08002B2CF9AE}" pid="7" name="KSOTemplateDocerSaveRecord">
    <vt:lpwstr>eyJoZGlkIjoiNWE5ODE2MTMxNDY2MjcwZWMwYWI2NzUyNzdhMDc1YWMiLCJ1c2VySWQiOiI3MDEyMDUzNzgifQ==</vt:lpwstr>
  </property>
</Properties>
</file>